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Arial"/>
          <w:sz w:val="32"/>
          <w:szCs w:val="28"/>
        </w:rPr>
      </w:pPr>
      <w:bookmarkStart w:id="0" w:name="_GoBack"/>
      <w:bookmarkEnd w:id="0"/>
    </w:p>
    <w:p>
      <w:pPr>
        <w:jc w:val="center"/>
        <w:rPr>
          <w:rFonts w:ascii="方正小标宋简体" w:hAnsi="仿宋" w:eastAsia="方正小标宋简体" w:cs="仿宋"/>
          <w:bCs/>
          <w:sz w:val="36"/>
          <w:szCs w:val="36"/>
        </w:rPr>
      </w:pPr>
      <w:r>
        <w:rPr>
          <w:rFonts w:hint="eastAsia" w:ascii="方正小标宋简体" w:hAnsi="仿宋" w:eastAsia="方正小标宋简体" w:cs="仿宋"/>
          <w:bCs/>
          <w:sz w:val="36"/>
          <w:szCs w:val="36"/>
        </w:rPr>
        <w:t>超级轨迹赛——“一带一路”竞赛规则</w:t>
      </w:r>
    </w:p>
    <w:p>
      <w:pPr>
        <w:pStyle w:val="31"/>
        <w:spacing w:line="420" w:lineRule="atLeast"/>
        <w:ind w:firstLine="640"/>
        <w:jc w:val="left"/>
        <w:rPr>
          <w:rFonts w:ascii="黑体" w:hAnsi="黑体" w:eastAsia="黑体"/>
          <w:sz w:val="32"/>
          <w:szCs w:val="32"/>
        </w:rPr>
      </w:pPr>
      <w:r>
        <w:rPr>
          <w:rFonts w:hint="eastAsia" w:ascii="黑体" w:hAnsi="黑体" w:eastAsia="黑体"/>
          <w:sz w:val="32"/>
          <w:szCs w:val="32"/>
        </w:rPr>
        <w:t>一、参赛范围</w:t>
      </w:r>
    </w:p>
    <w:p>
      <w:pPr>
        <w:spacing w:line="440" w:lineRule="exact"/>
        <w:ind w:firstLine="640" w:firstLineChars="200"/>
        <w:jc w:val="left"/>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rPr>
        <w:t>1</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参赛组别：小学组、初中组、</w:t>
      </w:r>
      <w:r>
        <w:rPr>
          <w:rFonts w:hint="eastAsia" w:ascii="仿宋_GB2312" w:hAnsi="Times New Roman" w:eastAsia="仿宋_GB2312" w:cs="Times New Roman"/>
          <w:sz w:val="32"/>
          <w:szCs w:val="32"/>
          <w:lang w:val="en-US" w:eastAsia="zh-CN"/>
        </w:rPr>
        <w:t>高中组</w:t>
      </w:r>
    </w:p>
    <w:p>
      <w:pPr>
        <w:spacing w:line="44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参赛人数：每队</w:t>
      </w:r>
      <w:r>
        <w:rPr>
          <w:rFonts w:hint="eastAsia" w:ascii="仿宋_GB2312" w:hAnsi="Times New Roman" w:eastAsia="仿宋_GB2312" w:cs="Times New Roman"/>
          <w:sz w:val="32"/>
          <w:szCs w:val="32"/>
          <w:lang w:val="en-US" w:eastAsia="zh-CN"/>
        </w:rPr>
        <w:t>最多由二</w:t>
      </w:r>
      <w:r>
        <w:rPr>
          <w:rFonts w:hint="eastAsia" w:ascii="仿宋_GB2312" w:hAnsi="Times New Roman" w:eastAsia="仿宋_GB2312" w:cs="Times New Roman"/>
          <w:sz w:val="32"/>
          <w:szCs w:val="32"/>
        </w:rPr>
        <w:t>名学生组成</w:t>
      </w:r>
    </w:p>
    <w:p>
      <w:pPr>
        <w:spacing w:line="440" w:lineRule="exact"/>
        <w:ind w:firstLine="640" w:firstLineChars="200"/>
        <w:jc w:val="left"/>
        <w:rPr>
          <w:rFonts w:ascii="黑体" w:hAnsi="黑体" w:eastAsia="黑体"/>
          <w:sz w:val="32"/>
          <w:szCs w:val="32"/>
        </w:rPr>
      </w:pPr>
      <w:r>
        <w:rPr>
          <w:rFonts w:hint="eastAsia" w:ascii="仿宋_GB2312" w:hAnsi="Times New Roman" w:eastAsia="仿宋_GB2312" w:cs="Times New Roman"/>
          <w:sz w:val="32"/>
          <w:szCs w:val="32"/>
        </w:rPr>
        <w:t>3</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指导教师：每队限报一名指导教师</w:t>
      </w:r>
    </w:p>
    <w:p>
      <w:pPr>
        <w:pStyle w:val="31"/>
        <w:spacing w:line="420" w:lineRule="atLeast"/>
        <w:ind w:firstLine="640"/>
        <w:jc w:val="left"/>
        <w:rPr>
          <w:rFonts w:ascii="黑体" w:hAnsi="黑体" w:eastAsia="黑体"/>
          <w:sz w:val="32"/>
          <w:szCs w:val="32"/>
        </w:rPr>
      </w:pPr>
      <w:r>
        <w:rPr>
          <w:rFonts w:hint="eastAsia" w:ascii="黑体" w:hAnsi="黑体" w:eastAsia="黑体"/>
          <w:sz w:val="32"/>
          <w:szCs w:val="32"/>
        </w:rPr>
        <w:t>二、竞赛主题</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“一带一路”（The Belt and Road Initiative；或 One Belt And One Road，简称“OBAOR”；或 One Belt One Road，简 称“OBOR”；或 Belt And Road，简称“BAR”）是“丝绸之路经济带”和“21世纪海上丝绸之路”的简称，来源于2013年9月和10月，中国国家主席习近平分别提出建设“新丝绸之路经济带”和“21 世纪海上丝绸之路”的战略构想。</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今天的陆上、海上丝绸之路共有五条线路。</w:t>
      </w:r>
    </w:p>
    <w:p>
      <w:pPr>
        <w:rPr>
          <w:rFonts w:ascii="仿宋" w:hAnsi="仿宋" w:eastAsia="仿宋" w:cs="仿宋"/>
          <w:sz w:val="32"/>
          <w:szCs w:val="32"/>
        </w:rPr>
      </w:pPr>
      <w:r>
        <w:rPr>
          <w:sz w:val="32"/>
          <w:szCs w:val="32"/>
        </w:rPr>
        <w:drawing>
          <wp:inline distT="0" distB="0" distL="0" distR="0">
            <wp:extent cx="5274310" cy="3164205"/>
            <wp:effectExtent l="19050" t="0" r="2540" b="0"/>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5" cstate="print"/>
                    <a:srcRect/>
                    <a:stretch>
                      <a:fillRect/>
                    </a:stretch>
                  </pic:blipFill>
                  <pic:spPr>
                    <a:xfrm>
                      <a:off x="0" y="0"/>
                      <a:ext cx="5274310" cy="3164205"/>
                    </a:xfrm>
                    <a:prstGeom prst="rect">
                      <a:avLst/>
                    </a:prstGeom>
                    <a:ln>
                      <a:noFill/>
                    </a:ln>
                  </pic:spPr>
                </pic:pic>
              </a:graphicData>
            </a:graphic>
          </wp:inline>
        </w:drawing>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 xml:space="preserve">北线 A：北美洲（美国，加拿大）—北太平洋—日本、韩国—东海（日本海）—海参崴（扎鲁比诺港，斯拉夫扬卡等）—珲春—延吉—吉林—长春—蒙古国—俄罗斯—欧洲（北欧，中欧，东欧，西欧，南欧）。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 xml:space="preserve">北线 B：北京—俄罗斯—德国—北欧。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 xml:space="preserve">中线：北京—郑州—西安—乌鲁木齐—阿富汗—哈萨克斯坦—匈牙利—巴黎。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南线：泉州—福州—广州—海口—北海—河内—吉隆坡—雅加达—科伦坡 —加尔各答—内罗毕—雅典—威尼斯。</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中心线：连云港—郑州—西安—兰州—新疆—中亚—欧洲。</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本届机竞赛的主题为“一带一路”。在“一带一路”机器人比赛中，各队选手在有限的时间里设计和制作出机器人来完成“一带一路”的穿越、交流等任务。</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通过这一跨越时空的宏伟构想，从历史深处走来，融通古今、连接中外，顺应和平、发展、合作、共赢的时代潮流，承载着丝绸之路沿途各国发展繁荣的梦想，赋予古老丝绸之路以崭新的时代内涵。</w:t>
      </w:r>
    </w:p>
    <w:p>
      <w:pPr>
        <w:pStyle w:val="31"/>
        <w:spacing w:line="420" w:lineRule="atLeast"/>
        <w:ind w:firstLine="640"/>
        <w:jc w:val="left"/>
        <w:rPr>
          <w:rFonts w:ascii="黑体" w:hAnsi="黑体" w:eastAsia="黑体"/>
          <w:sz w:val="32"/>
          <w:szCs w:val="32"/>
        </w:rPr>
      </w:pPr>
      <w:r>
        <w:rPr>
          <w:rFonts w:hint="eastAsia" w:ascii="黑体" w:hAnsi="黑体" w:eastAsia="黑体"/>
          <w:sz w:val="32"/>
          <w:szCs w:val="32"/>
        </w:rPr>
        <w:t>三、竞赛场地及设备标准</w:t>
      </w:r>
    </w:p>
    <w:p>
      <w:pPr>
        <w:spacing w:line="44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（一）竞赛场地</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比赛场地采用彩色喷绘布，尺寸2m*5m。从场地上的起点区域出发，有一条20mm至25mm宽的轨迹线引导到终点区域。此条轨迹线由起止线、直线、虚线、折线、圆弧等组成，具体形状由组委会在赛前公布。此外，在轨迹上将随机分布不同数量的竞赛模型组成的“场地任务”。下图是有可能出现的一种场地图形（该图仅供示例参考用，实际场地以比赛公布为准）：</w:t>
      </w:r>
    </w:p>
    <w:p>
      <w:pPr>
        <w:widowControl/>
        <w:jc w:val="left"/>
        <w:rPr>
          <w:rFonts w:ascii="宋体" w:hAnsi="宋体"/>
          <w:kern w:val="0"/>
          <w:sz w:val="24"/>
          <w:szCs w:val="24"/>
        </w:rPr>
      </w:pPr>
      <w:r>
        <w:rPr>
          <w:rFonts w:ascii="宋体" w:hAnsi="宋体"/>
          <w:kern w:val="0"/>
          <w:sz w:val="24"/>
          <w:szCs w:val="24"/>
        </w:rPr>
        <w:drawing>
          <wp:inline distT="0" distB="0" distL="0" distR="0">
            <wp:extent cx="5274310" cy="2158365"/>
            <wp:effectExtent l="0" t="0" r="2540" b="0"/>
            <wp:docPr id="4" name="图片 4" descr="C:\Users\elegant\Documents\Tencent Files\284995747\Image\C2C\Image1\{EJB7)YAH]6`]]3LW4XF9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elegant\Documents\Tencent Files\284995747\Image\C2C\Image1\{EJB7)YAH]6`]]3LW4XF9A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158365"/>
                    </a:xfrm>
                    <a:prstGeom prst="rect">
                      <a:avLst/>
                    </a:prstGeom>
                    <a:noFill/>
                    <a:ln>
                      <a:noFill/>
                    </a:ln>
                  </pic:spPr>
                </pic:pic>
              </a:graphicData>
            </a:graphic>
          </wp:inline>
        </w:drawing>
      </w:r>
    </w:p>
    <w:p>
      <w:pPr>
        <w:widowControl/>
        <w:jc w:val="left"/>
        <w:rPr>
          <w:rFonts w:ascii="宋体" w:hAnsi="宋体"/>
          <w:kern w:val="0"/>
          <w:sz w:val="24"/>
          <w:szCs w:val="24"/>
        </w:rPr>
      </w:pPr>
    </w:p>
    <w:p>
      <w:pPr>
        <w:spacing w:line="440" w:lineRule="exact"/>
        <w:ind w:firstLine="640" w:firstLineChars="200"/>
        <w:rPr>
          <w:rFonts w:ascii="楷体_GB2312" w:hAnsi="Times New Roman" w:eastAsia="楷体_GB2312" w:cs="Times New Roman"/>
          <w:sz w:val="32"/>
          <w:szCs w:val="32"/>
        </w:rPr>
      </w:pPr>
      <w:r>
        <w:rPr>
          <w:rFonts w:ascii="楷体_GB2312" w:hAnsi="Times New Roman" w:eastAsia="楷体_GB2312" w:cs="Times New Roman"/>
          <w:sz w:val="32"/>
          <w:szCs w:val="32"/>
        </w:rPr>
        <w:t>（</w:t>
      </w:r>
      <w:r>
        <w:rPr>
          <w:rFonts w:hint="eastAsia" w:ascii="楷体_GB2312" w:hAnsi="Times New Roman" w:eastAsia="楷体_GB2312" w:cs="Times New Roman"/>
          <w:sz w:val="32"/>
          <w:szCs w:val="32"/>
        </w:rPr>
        <w:t>二</w:t>
      </w:r>
      <w:r>
        <w:rPr>
          <w:rFonts w:ascii="楷体_GB2312" w:hAnsi="Times New Roman" w:eastAsia="楷体_GB2312" w:cs="Times New Roman"/>
          <w:sz w:val="32"/>
          <w:szCs w:val="32"/>
        </w:rPr>
        <w:t>）</w:t>
      </w:r>
      <w:r>
        <w:rPr>
          <w:rFonts w:hint="eastAsia" w:ascii="楷体_GB2312" w:hAnsi="Times New Roman" w:eastAsia="楷体_GB2312" w:cs="Times New Roman"/>
          <w:sz w:val="32"/>
          <w:szCs w:val="32"/>
        </w:rPr>
        <w:t>设备标准</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1、任务区</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场地上每段赛道将可能成为任务区。搭建、编程开始前，抽签决定哪一个赛道上出现什么任务，任务道具主体框架参考任务说明示意图，实际比赛道具搭建可能有所出入，例如实际用的梁、销等结构颜色不同，或尺寸、高度稍有不同，参赛选手应具备根据实际情况调整的能力，模型所在的位置一旦确定，各场比赛均尽量做到相同。</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2、脱线运行</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机器人必须沿着轨迹线向前运行，当机器人的主体结构投影全部脱离了轨迹线，就被认为是脱线运行，视为挑战失败，结束比赛。当机器人沿着轨迹线相反的方向走时，视为挑战失败，结束比赛。</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但做 “走出国门”、“组装动车”、“跨境物流”任务时机器人以完成任务为目可以短暂脱离黑线和倒车，脱离轨迹线任务运行之后,机器人需要在脱离轨迹线的地方返回线上继续后续比赛 (机器人任意部件投影能压回脱线位置) ,该过程不算脱线运行。</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3、光电系数</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为了突出参赛选手算法编程能力，鼓励使用更少的传感器完成任务，超级轨迹赛加入光电系数。光电系数从一开始就有效，按照机器人在完成任务过程中所安装的最大光电数量系数计入任务得分。光电系数以5个地面检测传感器为基数，每减少一个，系数变化如下表所示：</w:t>
      </w:r>
    </w:p>
    <w:tbl>
      <w:tblPr>
        <w:tblStyle w:val="12"/>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1" w:type="dxa"/>
          </w:tcPr>
          <w:p>
            <w:pPr>
              <w:jc w:val="center"/>
              <w:rPr>
                <w:rFonts w:ascii="仿宋" w:hAnsi="仿宋" w:eastAsia="仿宋"/>
                <w:b/>
                <w:sz w:val="32"/>
                <w:szCs w:val="32"/>
              </w:rPr>
            </w:pPr>
            <w:r>
              <w:rPr>
                <w:rFonts w:hint="eastAsia" w:ascii="仿宋" w:hAnsi="仿宋" w:eastAsia="仿宋"/>
                <w:b/>
                <w:sz w:val="32"/>
                <w:szCs w:val="32"/>
              </w:rPr>
              <w:t>使用光电数量</w:t>
            </w:r>
          </w:p>
        </w:tc>
        <w:tc>
          <w:tcPr>
            <w:tcW w:w="4261" w:type="dxa"/>
          </w:tcPr>
          <w:p>
            <w:pPr>
              <w:pStyle w:val="28"/>
              <w:ind w:firstLine="0" w:firstLineChars="0"/>
              <w:jc w:val="center"/>
              <w:rPr>
                <w:rFonts w:ascii="仿宋" w:hAnsi="仿宋" w:eastAsia="仿宋"/>
                <w:b/>
                <w:sz w:val="32"/>
                <w:szCs w:val="32"/>
              </w:rPr>
            </w:pPr>
            <w:r>
              <w:rPr>
                <w:rFonts w:hint="eastAsia" w:ascii="仿宋" w:hAnsi="仿宋" w:eastAsia="仿宋"/>
                <w:b/>
                <w:sz w:val="32"/>
                <w:szCs w:val="32"/>
              </w:rPr>
              <w:t>光电系数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261" w:type="dxa"/>
          </w:tcPr>
          <w:p>
            <w:pPr>
              <w:jc w:val="center"/>
              <w:rPr>
                <w:rFonts w:ascii="仿宋" w:hAnsi="仿宋" w:eastAsia="仿宋"/>
                <w:sz w:val="32"/>
                <w:szCs w:val="32"/>
              </w:rPr>
            </w:pPr>
            <w:r>
              <w:rPr>
                <w:rFonts w:hint="eastAsia" w:ascii="仿宋" w:hAnsi="仿宋" w:eastAsia="仿宋"/>
                <w:sz w:val="32"/>
                <w:szCs w:val="32"/>
              </w:rPr>
              <w:t>5光电</w:t>
            </w:r>
          </w:p>
        </w:tc>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4光电</w:t>
            </w:r>
          </w:p>
        </w:tc>
        <w:tc>
          <w:tcPr>
            <w:tcW w:w="4261" w:type="dxa"/>
          </w:tcPr>
          <w:p>
            <w:pPr>
              <w:pStyle w:val="28"/>
              <w:ind w:firstLine="0" w:firstLineChars="0"/>
              <w:jc w:val="center"/>
              <w:rPr>
                <w:rFonts w:ascii="仿宋" w:hAnsi="仿宋" w:eastAsia="仿宋"/>
                <w:sz w:val="32"/>
                <w:szCs w:val="32"/>
              </w:rPr>
            </w:pPr>
            <w:r>
              <w:rPr>
                <w:rFonts w:hint="eastAsia" w:ascii="仿宋" w:hAnsi="仿宋" w:eastAsia="仿宋"/>
                <w:sz w:val="32"/>
                <w:szCs w:val="32"/>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3光电</w:t>
            </w:r>
          </w:p>
        </w:tc>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2光电</w:t>
            </w:r>
          </w:p>
        </w:tc>
        <w:tc>
          <w:tcPr>
            <w:tcW w:w="4261" w:type="dxa"/>
          </w:tcPr>
          <w:p>
            <w:pPr>
              <w:jc w:val="center"/>
              <w:rPr>
                <w:rFonts w:ascii="仿宋" w:hAnsi="仿宋" w:eastAsia="仿宋"/>
                <w:sz w:val="32"/>
                <w:szCs w:val="32"/>
              </w:rPr>
            </w:pPr>
            <w:r>
              <w:rPr>
                <w:rFonts w:hint="eastAsia" w:ascii="仿宋" w:hAnsi="仿宋" w:eastAsia="仿宋"/>
                <w:sz w:val="32"/>
                <w:szCs w:val="32"/>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1光电</w:t>
            </w:r>
          </w:p>
        </w:tc>
        <w:tc>
          <w:tcPr>
            <w:tcW w:w="4261" w:type="dxa"/>
          </w:tcPr>
          <w:p>
            <w:pPr>
              <w:pStyle w:val="28"/>
              <w:ind w:firstLine="0" w:firstLineChars="0"/>
              <w:jc w:val="center"/>
              <w:rPr>
                <w:rFonts w:ascii="仿宋" w:hAnsi="仿宋" w:eastAsia="仿宋"/>
                <w:b/>
                <w:sz w:val="32"/>
                <w:szCs w:val="32"/>
              </w:rPr>
            </w:pPr>
            <w:r>
              <w:rPr>
                <w:rFonts w:hint="eastAsia" w:ascii="仿宋" w:hAnsi="仿宋" w:eastAsia="仿宋"/>
                <w:sz w:val="32"/>
                <w:szCs w:val="32"/>
              </w:rPr>
              <w:t>1.20</w:t>
            </w:r>
          </w:p>
        </w:tc>
      </w:tr>
    </w:tbl>
    <w:p>
      <w:pPr>
        <w:pStyle w:val="31"/>
        <w:spacing w:line="420" w:lineRule="atLeast"/>
        <w:ind w:firstLine="640"/>
        <w:jc w:val="left"/>
        <w:rPr>
          <w:rFonts w:ascii="黑体" w:hAnsi="黑体" w:eastAsia="黑体"/>
          <w:sz w:val="32"/>
          <w:szCs w:val="32"/>
        </w:rPr>
      </w:pPr>
      <w:r>
        <w:rPr>
          <w:rFonts w:hint="eastAsia" w:ascii="黑体" w:hAnsi="黑体" w:eastAsia="黑体"/>
          <w:sz w:val="32"/>
          <w:szCs w:val="32"/>
        </w:rPr>
        <w:t>四、竞赛规则</w:t>
      </w:r>
    </w:p>
    <w:p>
      <w:pPr>
        <w:spacing w:line="44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（一）机器人</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1.机器人数量：1个。</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尺寸：机器人在起始位置（包括出发区和接力区）的最大尺寸为30</w:t>
      </w:r>
      <w:r>
        <w:rPr>
          <w:rFonts w:ascii="仿宋_GB2312" w:hAnsi="Times New Roman" w:eastAsia="仿宋_GB2312" w:cs="Times New Roman"/>
          <w:sz w:val="32"/>
          <w:szCs w:val="32"/>
        </w:rPr>
        <w:t>cm×</w:t>
      </w:r>
      <w:r>
        <w:rPr>
          <w:rFonts w:hint="eastAsia" w:ascii="仿宋_GB2312" w:hAnsi="Times New Roman" w:eastAsia="仿宋_GB2312" w:cs="Times New Roman"/>
          <w:sz w:val="32"/>
          <w:szCs w:val="32"/>
        </w:rPr>
        <w:t>30</w:t>
      </w:r>
      <w:r>
        <w:rPr>
          <w:rFonts w:ascii="仿宋_GB2312" w:hAnsi="Times New Roman" w:eastAsia="仿宋_GB2312" w:cs="Times New Roman"/>
          <w:sz w:val="32"/>
          <w:szCs w:val="32"/>
        </w:rPr>
        <w:t>cm×</w:t>
      </w:r>
      <w:r>
        <w:rPr>
          <w:rFonts w:hint="eastAsia" w:ascii="仿宋_GB2312" w:hAnsi="Times New Roman" w:eastAsia="仿宋_GB2312" w:cs="Times New Roman"/>
          <w:sz w:val="32"/>
          <w:szCs w:val="32"/>
        </w:rPr>
        <w:t>30</w:t>
      </w:r>
      <w:r>
        <w:rPr>
          <w:rFonts w:ascii="仿宋_GB2312" w:hAnsi="Times New Roman" w:eastAsia="仿宋_GB2312" w:cs="Times New Roman"/>
          <w:sz w:val="32"/>
          <w:szCs w:val="32"/>
        </w:rPr>
        <w:t>cm</w:t>
      </w:r>
      <w:r>
        <w:rPr>
          <w:rFonts w:hint="eastAsia" w:ascii="仿宋_GB2312" w:hAnsi="Times New Roman" w:eastAsia="仿宋_GB2312" w:cs="Times New Roman"/>
          <w:sz w:val="32"/>
          <w:szCs w:val="32"/>
        </w:rPr>
        <w:t>（长×宽×高），离开出发区后，机器人的机构可以自由伸展。</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控制器：每台机器人只允许使用一个控制器，控制器电机端口不得超过4个（含4个），输入输出端口不得超过8个（含8个），内置2.4寸彩色液晶触摸屏。</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电机：当电机用于驱动时，只允许使用闭环编码电机（额定电压6v，空转转速：≤280转/分钟），驱动轮直径65±2 mm，单个电机独立驱动单个着地的轮子，提供驱动力的电机只能有两个。其它作辅助任务的电机数量不限。</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传感器：机器人禁止使用集成类传感器，如循迹卡、灰度卡等，不能多于一个接收探头。禁止使用带危险性传感器，如激光类传感器。相同类型的传感器数量不超过5个（含5个），例如无论是光电传感器、光感、黑标还是颜色传感器，只要用于检测地面黑线，都会被认为是相同类型的传感器。</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结构：机器人必需使用塑料积木件搭建，不得使用螺丝、螺钉、铆钉、胶水、胶带等辅助连接材料。设计尺寸是基于标准的10毫米积木。</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7</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电源：每台机器人电源类型不限，但电源输出电压不得超过10V。</w:t>
      </w:r>
    </w:p>
    <w:p>
      <w:pPr>
        <w:spacing w:line="44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（二）竞赛任务说明</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不同组别任务分配</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小学组：基础任务、包含至少轨迹赛任务4个、驿站；</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初中组：基础任务、包含至少轨迹赛任务6个、驿站、基础任务最后一段轨迹线为彩色线段；</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比赛任务包含‘基础任务’、‘轨迹赛任务’和‘驿站’。在整个竞赛中，机器人需要沿轨迹线完成遇到的各种任务。</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机器人以自主控制的方式沿着轨迹线每完成一个任务即可获得相应任务的分数（具体分数查看本节第7点的‘超级轨迹赛任务分值表’）。但无论何种任务，在比赛中有任何一个任务没有完成，后面的任务就算全部失败，本轮比赛结束。</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1.基础任务——丝绸之路</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任务描述：在整个场地的轨迹线上，有若干条垂直于轨迹线的直线，将整个丝绸之路分割成多个区域，在直线的旁边以“A、B、C”等英文字母标记。</w:t>
      </w:r>
    </w:p>
    <w:p>
      <w:pPr>
        <w:spacing w:line="440" w:lineRule="exact"/>
        <w:ind w:firstLine="640" w:firstLineChars="200"/>
        <w:rPr>
          <w:rFonts w:ascii="仿宋" w:hAnsi="仿宋" w:eastAsia="仿宋" w:cs="仿宋"/>
          <w:sz w:val="32"/>
          <w:szCs w:val="32"/>
        </w:rPr>
      </w:pPr>
      <w:r>
        <w:rPr>
          <w:rFonts w:hint="eastAsia" w:ascii="仿宋_GB2312" w:hAnsi="Times New Roman" w:eastAsia="仿宋_GB2312" w:cs="Times New Roman"/>
          <w:sz w:val="32"/>
          <w:szCs w:val="32"/>
        </w:rPr>
        <w:t>任务完成的标志：机器人投影接触到垂直于轨迹线的标记直线。</w:t>
      </w:r>
    </w:p>
    <w:p>
      <w:pPr>
        <w:jc w:val="center"/>
        <w:rPr>
          <w:rFonts w:ascii="仿宋" w:hAnsi="仿宋" w:eastAsia="仿宋" w:cs="仿宋"/>
          <w:sz w:val="32"/>
          <w:szCs w:val="32"/>
        </w:rPr>
      </w:pPr>
      <w:r>
        <w:rPr>
          <w:rFonts w:ascii="仿宋" w:hAnsi="仿宋" w:eastAsia="仿宋" w:cs="仿宋"/>
          <w:sz w:val="32"/>
          <w:szCs w:val="32"/>
        </w:rPr>
        <w:drawing>
          <wp:inline distT="0" distB="0" distL="114300" distR="114300">
            <wp:extent cx="5271135" cy="2004060"/>
            <wp:effectExtent l="0" t="0" r="5715" b="15240"/>
            <wp:docPr id="17" name="图片 17" descr="E3MQO4E]E27OT(PHAU}0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3MQO4E]E27OT(PHAU}0_M6"/>
                    <pic:cNvPicPr>
                      <a:picLocks noChangeAspect="1"/>
                    </pic:cNvPicPr>
                  </pic:nvPicPr>
                  <pic:blipFill>
                    <a:blip r:embed="rId7"/>
                    <a:stretch>
                      <a:fillRect/>
                    </a:stretch>
                  </pic:blipFill>
                  <pic:spPr>
                    <a:xfrm>
                      <a:off x="0" y="0"/>
                      <a:ext cx="5271135" cy="2004060"/>
                    </a:xfrm>
                    <a:prstGeom prst="rect">
                      <a:avLst/>
                    </a:prstGeom>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丝绸之路示意图</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2.轨迹赛任务</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轨迹赛任务在轨迹线上设置一些障碍或道具，机器人需要按照要求穿越或完成任务模型，获得相应得分。</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（1）走出国门</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任务描述：在丝绸之路上，有可能会出现一个国门模型，以示已到达国家边界。</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成任务的标志：机器人需要打开门闸通过，并且机器人不可撞倒门闸模型。（下图左边主模型不可撞倒，撞倒则视为任务失败；在完成任务的过程中无论是左模型还是右模型都不可以被带走，失败的标志是带到下一个得分任务点）</w:t>
      </w:r>
    </w:p>
    <w:p>
      <w:pPr>
        <w:jc w:val="center"/>
        <w:rPr>
          <w:rFonts w:ascii="宋体" w:hAnsi="宋体"/>
          <w:kern w:val="0"/>
          <w:sz w:val="24"/>
          <w:szCs w:val="24"/>
        </w:rPr>
      </w:pPr>
      <w:r>
        <w:rPr>
          <w:rFonts w:ascii="宋体" w:hAnsi="宋体"/>
          <w:kern w:val="0"/>
          <w:sz w:val="24"/>
          <w:szCs w:val="24"/>
        </w:rPr>
        <w:drawing>
          <wp:inline distT="0" distB="0" distL="0" distR="0">
            <wp:extent cx="2362200" cy="1772285"/>
            <wp:effectExtent l="0" t="0" r="0" b="0"/>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8" cstate="print"/>
                    <a:srcRect/>
                    <a:stretch>
                      <a:fillRect/>
                    </a:stretch>
                  </pic:blipFill>
                  <pic:spPr>
                    <a:xfrm>
                      <a:off x="0" y="0"/>
                      <a:ext cx="2362200" cy="1772322"/>
                    </a:xfrm>
                    <a:prstGeom prst="rect">
                      <a:avLst/>
                    </a:prstGeom>
                    <a:ln>
                      <a:noFill/>
                    </a:ln>
                  </pic:spPr>
                </pic:pic>
              </a:graphicData>
            </a:graphic>
          </wp:inline>
        </w:drawing>
      </w:r>
      <w:r>
        <w:rPr>
          <w:rFonts w:hint="eastAsia" w:ascii="宋体" w:hAnsi="宋体"/>
          <w:kern w:val="0"/>
          <w:sz w:val="24"/>
          <w:szCs w:val="24"/>
        </w:rPr>
        <w:t xml:space="preserve">  </w:t>
      </w:r>
      <w:r>
        <w:rPr>
          <w:rFonts w:ascii="宋体" w:hAnsi="宋体"/>
          <w:kern w:val="0"/>
          <w:sz w:val="24"/>
          <w:szCs w:val="24"/>
        </w:rPr>
        <w:drawing>
          <wp:inline distT="0" distB="0" distL="0" distR="0">
            <wp:extent cx="2381250" cy="1786255"/>
            <wp:effectExtent l="0" t="0" r="0" b="4445"/>
            <wp:docPr id="1031" name="图片 16"/>
            <wp:cNvGraphicFramePr/>
            <a:graphic xmlns:a="http://schemas.openxmlformats.org/drawingml/2006/main">
              <a:graphicData uri="http://schemas.openxmlformats.org/drawingml/2006/picture">
                <pic:pic xmlns:pic="http://schemas.openxmlformats.org/drawingml/2006/picture">
                  <pic:nvPicPr>
                    <pic:cNvPr id="1031" name="图片 16"/>
                    <pic:cNvPicPr/>
                  </pic:nvPicPr>
                  <pic:blipFill>
                    <a:blip r:embed="rId9" cstate="print"/>
                    <a:srcRect/>
                    <a:stretch>
                      <a:fillRect/>
                    </a:stretch>
                  </pic:blipFill>
                  <pic:spPr>
                    <a:xfrm>
                      <a:off x="0" y="0"/>
                      <a:ext cx="2381250" cy="1786829"/>
                    </a:xfrm>
                    <a:prstGeom prst="rect">
                      <a:avLst/>
                    </a:prstGeom>
                    <a:ln>
                      <a:noFill/>
                    </a:ln>
                  </pic:spPr>
                </pic:pic>
              </a:graphicData>
            </a:graphic>
          </wp:inline>
        </w:drawing>
      </w:r>
    </w:p>
    <w:p>
      <w:pPr>
        <w:spacing w:line="440" w:lineRule="exact"/>
        <w:jc w:val="center"/>
        <w:rPr>
          <w:rFonts w:ascii="仿宋" w:hAnsi="仿宋" w:eastAsia="仿宋" w:cs="仿宋"/>
          <w:sz w:val="32"/>
          <w:szCs w:val="32"/>
        </w:rPr>
      </w:pPr>
      <w:r>
        <w:rPr>
          <w:rFonts w:hint="eastAsia" w:ascii="仿宋" w:hAnsi="仿宋" w:eastAsia="仿宋"/>
          <w:sz w:val="28"/>
          <w:szCs w:val="28"/>
        </w:rPr>
        <w:t xml:space="preserve">门闸闭合示意图  </w:t>
      </w:r>
      <w:r>
        <w:rPr>
          <w:rFonts w:hint="eastAsia" w:ascii="仿宋" w:hAnsi="仿宋" w:eastAsia="仿宋" w:cs="仿宋"/>
          <w:sz w:val="32"/>
          <w:szCs w:val="32"/>
        </w:rPr>
        <w:t xml:space="preserve">     </w:t>
      </w:r>
      <w:r>
        <w:rPr>
          <w:rFonts w:hint="eastAsia" w:ascii="仿宋" w:hAnsi="仿宋" w:eastAsia="仿宋"/>
          <w:sz w:val="28"/>
          <w:szCs w:val="28"/>
        </w:rPr>
        <w:t xml:space="preserve">   门闸打开示意图</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（2）穿越冰川</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任务描述：在丝绸之路上，有一些区域为冰川。在冰川的这段轨迹线上，用代表冰川的贴纸，覆盖在这段轨迹线上, 将轨迹线断开出一段20~30cm的没有轨迹线的道路。要求机器人在没有引导线的情况下顺利通过该段道路。冰川将以抽签的形式决定分布在哪个赛道上。</w:t>
      </w:r>
    </w:p>
    <w:p>
      <w:pPr>
        <w:spacing w:line="440" w:lineRule="exact"/>
        <w:ind w:firstLine="640" w:firstLineChars="200"/>
        <w:rPr>
          <w:rFonts w:ascii="仿宋_GB2312" w:hAnsi="Times New Roman" w:eastAsia="仿宋_GB2312" w:cs="Times New Roman"/>
          <w:b/>
          <w:sz w:val="32"/>
          <w:szCs w:val="32"/>
        </w:rPr>
      </w:pPr>
      <w:r>
        <w:rPr>
          <w:rFonts w:hint="eastAsia" w:ascii="仿宋_GB2312" w:hAnsi="Times New Roman" w:eastAsia="仿宋_GB2312" w:cs="Times New Roman"/>
          <w:sz w:val="32"/>
          <w:szCs w:val="32"/>
        </w:rPr>
        <w:t>完成任务标志：机器人脱离引导线后顺利从另一端的引导线进入接下来的赛道。脱离后无法进入后面的引导线则判定为失败。</w:t>
      </w:r>
    </w:p>
    <w:p>
      <w:pPr>
        <w:widowControl/>
        <w:ind w:firstLine="960" w:firstLineChars="300"/>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4093210" cy="925830"/>
            <wp:effectExtent l="0" t="0" r="2540" b="7620"/>
            <wp:docPr id="23" name="图片 23" descr="VDYX7GZ}%6C]A~~A@PSOI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VDYX7GZ}%6C]A~~A@PSOIIW"/>
                    <pic:cNvPicPr>
                      <a:picLocks noChangeAspect="1"/>
                    </pic:cNvPicPr>
                  </pic:nvPicPr>
                  <pic:blipFill>
                    <a:blip r:embed="rId10"/>
                    <a:srcRect t="22260" r="1795"/>
                    <a:stretch>
                      <a:fillRect/>
                    </a:stretch>
                  </pic:blipFill>
                  <pic:spPr>
                    <a:xfrm>
                      <a:off x="0" y="0"/>
                      <a:ext cx="4108328" cy="929427"/>
                    </a:xfrm>
                    <a:prstGeom prst="rect">
                      <a:avLst/>
                    </a:prstGeom>
                    <a:solidFill>
                      <a:schemeClr val="lt1"/>
                    </a:solidFill>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示意图</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（3）清理障碍</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任务描述：在场地的任何一段线上，有可能出现一块障碍，障碍物周围有20cm~40cm的虚线框围着，机器人在通过这个区域时，需要将障碍从引导线上移开，且障碍物不能完全离开虚线框。</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完成任务标志：障碍的任何垂直投影不在赛道的引导线上，并且没有完全脱离虚线框。</w:t>
      </w:r>
    </w:p>
    <w:p>
      <w:pPr>
        <w:jc w:val="center"/>
      </w:pPr>
      <w:r>
        <w:drawing>
          <wp:inline distT="0" distB="0" distL="0" distR="0">
            <wp:extent cx="2370455" cy="1089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382480" cy="1094927"/>
                    </a:xfrm>
                    <a:prstGeom prst="rect">
                      <a:avLst/>
                    </a:prstGeom>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障碍物示意图</w:t>
      </w:r>
    </w:p>
    <w:p>
      <w:pPr>
        <w:jc w:val="center"/>
      </w:pPr>
      <w:r>
        <w:rPr>
          <w:rFonts w:ascii="宋体" w:hAnsi="宋体"/>
          <w:kern w:val="0"/>
          <w:sz w:val="24"/>
          <w:szCs w:val="24"/>
        </w:rPr>
        <w:drawing>
          <wp:inline distT="0" distB="0" distL="114300" distR="114300">
            <wp:extent cx="945515" cy="998855"/>
            <wp:effectExtent l="0" t="0" r="6985"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2"/>
                    <a:stretch>
                      <a:fillRect/>
                    </a:stretch>
                  </pic:blipFill>
                  <pic:spPr>
                    <a:xfrm>
                      <a:off x="0" y="0"/>
                      <a:ext cx="953186" cy="1007232"/>
                    </a:xfrm>
                    <a:prstGeom prst="rect">
                      <a:avLst/>
                    </a:prstGeom>
                    <a:noFill/>
                    <a:ln w="9525">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实物模型</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（4）荒芜之地</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任务描述：在丝绸之路上，有一段区域的引导线上，存在长30cm*宽30cm的荒芜之地。荒芜之地中间没有黑色引导线，要求机器人通过这段路。</w:t>
      </w:r>
    </w:p>
    <w:p>
      <w:pPr>
        <w:spacing w:line="440" w:lineRule="exact"/>
        <w:ind w:firstLine="640" w:firstLineChars="200"/>
        <w:rPr>
          <w:rFonts w:ascii="仿宋" w:hAnsi="仿宋" w:eastAsia="仿宋" w:cs="仿宋"/>
          <w:sz w:val="32"/>
          <w:szCs w:val="32"/>
        </w:rPr>
      </w:pPr>
      <w:r>
        <w:rPr>
          <w:rFonts w:hint="eastAsia" w:ascii="仿宋_GB2312" w:hAnsi="Times New Roman" w:eastAsia="仿宋_GB2312" w:cs="Times New Roman"/>
          <w:sz w:val="32"/>
          <w:szCs w:val="32"/>
        </w:rPr>
        <w:t>完成任务的标志：机器人脱离引导线后顺利走出荒芜之地，且机器人能从另一端的引导线进入接下来的赛道，不脱线。（实体道具铺上沙石，以现场情况为主）</w:t>
      </w:r>
    </w:p>
    <w:p>
      <w:pPr>
        <w:widowControl/>
        <w:jc w:val="center"/>
        <w:rPr>
          <w:rFonts w:ascii="宋体" w:hAnsi="宋体"/>
          <w:kern w:val="0"/>
          <w:sz w:val="24"/>
          <w:szCs w:val="24"/>
        </w:rPr>
      </w:pPr>
      <w:r>
        <w:rPr>
          <w:rFonts w:ascii="宋体" w:hAnsi="宋体"/>
          <w:kern w:val="0"/>
          <w:sz w:val="24"/>
          <w:szCs w:val="24"/>
        </w:rPr>
        <w:drawing>
          <wp:inline distT="0" distB="0" distL="0" distR="0">
            <wp:extent cx="2828925" cy="1504315"/>
            <wp:effectExtent l="0" t="0" r="0" b="635"/>
            <wp:docPr id="8" name="图片 8" descr="C:\Users\elegant\Documents\Tencent Files\284995747\FileRecv\QQ图片2018111410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elegant\Documents\Tencent Files\284995747\FileRecv\QQ图片201811141056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33891" cy="1507248"/>
                    </a:xfrm>
                    <a:prstGeom prst="rect">
                      <a:avLst/>
                    </a:prstGeom>
                    <a:noFill/>
                    <a:ln>
                      <a:noFill/>
                    </a:ln>
                  </pic:spPr>
                </pic:pic>
              </a:graphicData>
            </a:graphic>
          </wp:inline>
        </w:drawing>
      </w:r>
      <w:r>
        <w:rPr>
          <w:rFonts w:ascii="宋体" w:hAnsi="宋体"/>
          <w:kern w:val="0"/>
          <w:sz w:val="24"/>
          <w:szCs w:val="24"/>
        </w:rPr>
        <w:drawing>
          <wp:inline distT="0" distB="0" distL="0" distR="0">
            <wp:extent cx="1971675" cy="1498600"/>
            <wp:effectExtent l="0" t="0" r="0" b="6350"/>
            <wp:docPr id="3" name="图片 3" descr="C:\Users\elegant\Documents\Tencent Files\284995747\Image\C2C\Image1\3@W$02X7V4DK}K8_L4NA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elegant\Documents\Tencent Files\284995747\Image\C2C\Image1\3@W$02X7V4DK}K8_L4NAI(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79360" cy="1504672"/>
                    </a:xfrm>
                    <a:prstGeom prst="rect">
                      <a:avLst/>
                    </a:prstGeom>
                    <a:noFill/>
                    <a:ln>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荒芜之地示意图</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（5）组装动车组</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途中可能会出现一节车厢模型，旁边摆放动车组模型。机器人需要识别车厢型号，并根据型号装在对应的动车模型上完成动车组装(模型前有黑白相间的横线，用于区分型号，型号有单、双数两种，单数装入动车模型左边车架，双数装右边)。</w:t>
      </w:r>
    </w:p>
    <w:p>
      <w:pPr>
        <w:jc w:val="center"/>
      </w:pPr>
      <w:r>
        <w:drawing>
          <wp:inline distT="0" distB="0" distL="0" distR="0">
            <wp:extent cx="3063240" cy="2292985"/>
            <wp:effectExtent l="0" t="0" r="381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3304" cy="2315574"/>
                    </a:xfrm>
                    <a:prstGeom prst="rect">
                      <a:avLst/>
                    </a:prstGeom>
                    <a:noFill/>
                    <a:ln w="9525">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车厢模型</w:t>
      </w:r>
    </w:p>
    <w:p>
      <w:r>
        <w:drawing>
          <wp:inline distT="0" distB="0" distL="0" distR="0">
            <wp:extent cx="5274310" cy="14103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1410756"/>
                    </a:xfrm>
                    <a:prstGeom prst="rect">
                      <a:avLst/>
                    </a:prstGeom>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车厢型号</w:t>
      </w:r>
    </w:p>
    <w:p>
      <w:pPr>
        <w:jc w:val="center"/>
      </w:pPr>
      <w:r>
        <w:drawing>
          <wp:inline distT="0" distB="0" distL="0" distR="0">
            <wp:extent cx="4476750" cy="2183765"/>
            <wp:effectExtent l="0" t="0" r="0"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cstate="print">
                      <a:extLst>
                        <a:ext uri="{28A0092B-C50C-407E-A947-70E740481C1C}">
                          <a14:useLocalDpi xmlns:a14="http://schemas.microsoft.com/office/drawing/2010/main" val="0"/>
                        </a:ext>
                      </a:extLst>
                    </a:blip>
                    <a:srcRect l="2131" t="2903" r="2787" b="5792"/>
                    <a:stretch>
                      <a:fillRect/>
                    </a:stretch>
                  </pic:blipFill>
                  <pic:spPr>
                    <a:xfrm>
                      <a:off x="0" y="0"/>
                      <a:ext cx="4480269" cy="2185830"/>
                    </a:xfrm>
                    <a:prstGeom prst="rect">
                      <a:avLst/>
                    </a:prstGeom>
                    <a:noFill/>
                    <a:ln>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 xml:space="preserve">  动车模型</w:t>
      </w:r>
    </w:p>
    <w:p>
      <w:pPr>
        <w:jc w:val="center"/>
      </w:pPr>
      <w:r>
        <w:drawing>
          <wp:inline distT="0" distB="0" distL="0" distR="0">
            <wp:extent cx="2671445" cy="1527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677475" cy="1531155"/>
                    </a:xfrm>
                    <a:prstGeom prst="rect">
                      <a:avLst/>
                    </a:prstGeom>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型号识别区示意图</w:t>
      </w:r>
    </w:p>
    <w:p>
      <w:pPr>
        <w:jc w:val="center"/>
      </w:pPr>
      <w:r>
        <w:drawing>
          <wp:inline distT="0" distB="0" distL="0" distR="0">
            <wp:extent cx="4476750" cy="2131060"/>
            <wp:effectExtent l="0" t="0" r="0" b="25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8936" cy="2137277"/>
                    </a:xfrm>
                    <a:prstGeom prst="rect">
                      <a:avLst/>
                    </a:prstGeom>
                    <a:noFill/>
                    <a:ln w="9525">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任务成功示意图</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注意：组装动车组与跨境物流任务不能在驿站的同一侧，如果组装动车组在驿站前，那么跨境物流就必须在于驿站后面。</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（6）挑战任务</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任务描述：在场地的任何一段线上，有可能出现一个挑战任务，机器人在通过这个区域时，需要完成挑战任务。挑战任务由裁判现场公布。</w:t>
      </w:r>
    </w:p>
    <w:p>
      <w:pPr>
        <w:ind w:firstLine="640" w:firstLineChars="200"/>
        <w:rPr>
          <w:rFonts w:ascii="仿宋" w:hAnsi="仿宋" w:eastAsia="仿宋" w:cs="仿宋"/>
          <w:sz w:val="32"/>
          <w:szCs w:val="32"/>
        </w:rPr>
      </w:pPr>
      <w:r>
        <w:rPr>
          <w:rFonts w:hint="eastAsia" w:ascii="仿宋" w:hAnsi="仿宋" w:eastAsia="仿宋" w:cs="仿宋"/>
          <w:sz w:val="32"/>
          <w:szCs w:val="32"/>
        </w:rPr>
        <w:t>（7）跨境物流</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任务描述：有一批快件需要从A区运送到B区，机器人到达A区获取快件，运送到B区。</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任务完成标志：任务分两个阶段</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①接收快件  （将A区货物装载在机器人身上）</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②投递快件  （货物投递到B货物区）</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完成每个阶段都可获得相应分数。</w:t>
      </w:r>
    </w:p>
    <w:p>
      <w:pPr>
        <w:jc w:val="center"/>
      </w:pPr>
      <w:r>
        <w:rPr>
          <w:rFonts w:ascii="仿宋" w:hAnsi="仿宋" w:eastAsia="仿宋"/>
          <w:sz w:val="24"/>
          <w:szCs w:val="24"/>
        </w:rPr>
        <w:drawing>
          <wp:inline distT="0" distB="0" distL="0" distR="0">
            <wp:extent cx="2657475" cy="1979930"/>
            <wp:effectExtent l="0" t="0" r="9525" b="127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8014" cy="1980000"/>
                    </a:xfrm>
                    <a:prstGeom prst="rect">
                      <a:avLst/>
                    </a:prstGeom>
                    <a:noFill/>
                    <a:ln w="9525">
                      <a:noFill/>
                    </a:ln>
                  </pic:spPr>
                </pic:pic>
              </a:graphicData>
            </a:graphic>
          </wp:inline>
        </w:drawing>
      </w:r>
      <w:r>
        <w:rPr>
          <w:rFonts w:hint="eastAsia"/>
        </w:rPr>
        <w:t xml:space="preserve"> </w:t>
      </w:r>
      <w:r>
        <w:rPr>
          <w:rFonts w:ascii="仿宋" w:hAnsi="仿宋" w:eastAsia="仿宋"/>
          <w:sz w:val="24"/>
          <w:szCs w:val="24"/>
        </w:rPr>
        <w:drawing>
          <wp:inline distT="0" distB="0" distL="0" distR="0">
            <wp:extent cx="2527300" cy="1979930"/>
            <wp:effectExtent l="0" t="0" r="6350" b="12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7613" cy="1980000"/>
                    </a:xfrm>
                    <a:prstGeom prst="rect">
                      <a:avLst/>
                    </a:prstGeom>
                    <a:noFill/>
                    <a:ln w="9525">
                      <a:noFill/>
                    </a:ln>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接收快件模型（左为初始状态，右为货物卸落时的状态）</w:t>
      </w:r>
    </w:p>
    <w:p>
      <w:pPr>
        <w:jc w:val="center"/>
      </w:pPr>
      <w:r>
        <w:drawing>
          <wp:inline distT="0" distB="0" distL="0" distR="0">
            <wp:extent cx="2663190" cy="20866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669098" cy="2091411"/>
                    </a:xfrm>
                    <a:prstGeom prst="rect">
                      <a:avLst/>
                    </a:prstGeom>
                  </pic:spPr>
                </pic:pic>
              </a:graphicData>
            </a:graphic>
          </wp:inline>
        </w:drawing>
      </w:r>
    </w:p>
    <w:p>
      <w:pPr>
        <w:spacing w:line="440" w:lineRule="exact"/>
        <w:jc w:val="center"/>
        <w:rPr>
          <w:rFonts w:ascii="仿宋" w:hAnsi="仿宋" w:eastAsia="仿宋"/>
          <w:sz w:val="28"/>
          <w:szCs w:val="28"/>
        </w:rPr>
      </w:pPr>
      <w:r>
        <w:rPr>
          <w:rFonts w:hint="eastAsia" w:ascii="仿宋" w:hAnsi="仿宋" w:eastAsia="仿宋"/>
          <w:sz w:val="28"/>
          <w:szCs w:val="28"/>
        </w:rPr>
        <w:t>投递快件模型（将货物投入框内）</w:t>
      </w:r>
    </w:p>
    <w:p>
      <w:pPr>
        <w:spacing w:line="440" w:lineRule="exact"/>
        <w:ind w:firstLine="643" w:firstLineChars="200"/>
        <w:rPr>
          <w:rFonts w:ascii="仿宋" w:hAnsi="仿宋" w:eastAsia="仿宋"/>
          <w:sz w:val="24"/>
          <w:szCs w:val="24"/>
        </w:rPr>
      </w:pPr>
      <w:r>
        <w:rPr>
          <w:rFonts w:hint="eastAsia" w:ascii="仿宋_GB2312" w:hAnsi="Times New Roman" w:eastAsia="仿宋_GB2312" w:cs="Times New Roman"/>
          <w:b/>
          <w:sz w:val="32"/>
          <w:szCs w:val="32"/>
        </w:rPr>
        <w:t>注意：跨境物流与组装动车组任务不能在驿站的同一侧，如果跨境物流在驿站前，那么组装动车组就必须在于驿站后面。</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3.驿站</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在丝绸之路的线路上、在多个轨迹赛任务中间，会有一个30cm×30cm的驿站区域，机器人可以在此区域内修整，更换零部件去完成下一任务。此间不停表，计时继续。</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当机器人到达驿站后，需在该区域进行修整，必须再次更换驱动轮轮胎，同时可更换除了控制器、电池之外的一切符合规则要求的零件。</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如果出现机器人冲过驿站或者只在驿站中停留未完成更换驱动轮轮胎等修整工作的，视为任务失败，比赛结束。</w:t>
      </w:r>
    </w:p>
    <w:p>
      <w:pPr>
        <w:jc w:val="center"/>
      </w:pPr>
      <w:r>
        <w:rPr>
          <w:rFonts w:hint="eastAsia"/>
        </w:rPr>
        <w:drawing>
          <wp:inline distT="0" distB="0" distL="0" distR="0">
            <wp:extent cx="3065145" cy="1707515"/>
            <wp:effectExtent l="0" t="0" r="1905" b="6985"/>
            <wp:docPr id="5" name="图片 5" descr="C:\Users\elegant\Documents\Tencent Files\284995747\Image\C2C\W%K]}3_B9BB67P@IL98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elegant\Documents\Tencent Files\284995747\Image\C2C\W%K]}3_B9BB67P@IL983A%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65145" cy="1707515"/>
                    </a:xfrm>
                    <a:prstGeom prst="rect">
                      <a:avLst/>
                    </a:prstGeom>
                    <a:noFill/>
                    <a:ln>
                      <a:noFill/>
                    </a:ln>
                  </pic:spPr>
                </pic:pic>
              </a:graphicData>
            </a:graphic>
          </wp:inline>
        </w:drawing>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到达驿站标准：机器人的两个驱动轮完全进入驿站区域（驱动轮完全越过虚线）；机器人进入驿站后才能用手接触机器人。</w:t>
      </w:r>
    </w:p>
    <w:p>
      <w:pPr>
        <w:spacing w:line="440" w:lineRule="exact"/>
        <w:ind w:firstLine="640" w:firstLineChars="200"/>
        <w:rPr>
          <w:rFonts w:ascii="楷体_GB2312" w:hAnsi="Times New Roman" w:eastAsia="楷体_GB2312" w:cs="Times New Roman"/>
          <w:sz w:val="32"/>
          <w:szCs w:val="32"/>
        </w:rPr>
      </w:pPr>
      <w:r>
        <w:rPr>
          <w:rFonts w:ascii="楷体_GB2312" w:hAnsi="Times New Roman" w:eastAsia="楷体_GB2312" w:cs="Times New Roman"/>
          <w:sz w:val="32"/>
          <w:szCs w:val="32"/>
        </w:rPr>
        <w:t>（</w:t>
      </w:r>
      <w:r>
        <w:rPr>
          <w:rFonts w:hint="eastAsia" w:ascii="楷体_GB2312" w:hAnsi="Times New Roman" w:eastAsia="楷体_GB2312" w:cs="Times New Roman"/>
          <w:sz w:val="32"/>
          <w:szCs w:val="32"/>
        </w:rPr>
        <w:t>三</w:t>
      </w:r>
      <w:r>
        <w:rPr>
          <w:rFonts w:ascii="楷体_GB2312" w:hAnsi="Times New Roman" w:eastAsia="楷体_GB2312" w:cs="Times New Roman"/>
          <w:sz w:val="32"/>
          <w:szCs w:val="32"/>
        </w:rPr>
        <w:t>）</w:t>
      </w:r>
      <w:r>
        <w:rPr>
          <w:rFonts w:hint="eastAsia" w:ascii="楷体_GB2312" w:hAnsi="Times New Roman" w:eastAsia="楷体_GB2312" w:cs="Times New Roman"/>
          <w:sz w:val="32"/>
          <w:szCs w:val="32"/>
        </w:rPr>
        <w:t>竞赛赛制</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1.比赛顺序</w:t>
      </w:r>
    </w:p>
    <w:p>
      <w:pPr>
        <w:spacing w:line="440" w:lineRule="exact"/>
        <w:ind w:firstLine="640" w:firstLineChars="200"/>
        <w:rPr>
          <w:rFonts w:ascii="仿宋" w:hAnsi="仿宋" w:eastAsia="仿宋" w:cs="仿宋"/>
          <w:sz w:val="32"/>
          <w:szCs w:val="32"/>
        </w:rPr>
      </w:pPr>
      <w:r>
        <w:rPr>
          <w:rFonts w:hint="eastAsia" w:ascii="仿宋_GB2312" w:hAnsi="Times New Roman" w:eastAsia="仿宋_GB2312" w:cs="Times New Roman"/>
          <w:sz w:val="32"/>
          <w:szCs w:val="32"/>
        </w:rPr>
        <w:t>赛前会抽签确定参赛顺序，严格按照抽签确定顺序进行比赛。比赛中，上一队开始比赛时，会通知下一队候场准备。在规定时间内没有准备好的参赛队将丧失本轮比赛机会，但不影响下一轮的比赛。</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2.搭建编程</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参赛队在第一轮开始前有60分钟的搭建、编程时间。</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第一轮结束后，有30分钟时间进行第二轮调试。参赛队员需要按照赛场秩序，有序地排队进行编程及调试，不遵守秩序的参赛队可能会被取消参赛资格。编程调试结束后，机器人由裁判封存，参赛队员未经允许不得再接触机器人，否则将被取消参赛资格。</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裁判有权根据现场实际情况调整第一轮和第二轮的调试时间。</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3.正式比赛</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比赛共分两轮，单轮比赛时间为 3分钟，3分钟计时周期为裁判的开始哨声到裁判的结束哨声。参赛队的机器人出现下列情况，将停止计时,终止比赛，并记录所用时间。</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（1）参赛队的机器人提前到达终点；</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（2）参赛队主动结束比赛；</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（3）机器人脱线运行,参考脱线运行标准；</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（4）任务失败；</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（5）计时到达3分钟;</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其中裁判终点计时的判断标准是：当机器人顺利完成所有任务，冲向终点时，机器人的任何垂直投影部分接触到终点时裁判结束计时，记录时间分和任务分，机器人之后的状态不影响比赛结果。</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竞赛成绩统计时，取两轮的总和为最终比赛成绩。如果总成绩相同时，按以下顺序决定排名：</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（1）机器人电机和传感器数量合计较少者排名靠前。</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（2）单轮成绩较高者排名靠前。</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（3）两轮用时总和较少者排名靠前。</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 xml:space="preserve">4.任务随机性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场地上的任务模型的位置并不固定，在第一轮比赛前的封闭调试开始时会抽签确定任务和模型的位置。位置一旦确定比赛的两轮中所有任务位置不再发生变化。</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不同组别的任务数量不相同,先抽签确定具体任务.然后再确定任务位置。</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 xml:space="preserve">5.现场环境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（1）现场的电源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比赛现场提供当地标准电源接口，如果参赛队需要任何电压或者频率的转换器，请参赛队自行准备。距离参赛队最近的电源接口可能距离参赛队的指定调试桌有一定的距离，请参赛队自行准备足够长的电源延长线，同时在现场使用延长线时请注意固定和安全。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2</w:t>
      </w:r>
      <w:r>
        <w:rPr>
          <w:rFonts w:hint="eastAsia" w:ascii="仿宋_GB2312" w:hAnsi="Times New Roman" w:eastAsia="仿宋_GB2312" w:cs="Times New Roman"/>
          <w:sz w:val="32"/>
          <w:szCs w:val="32"/>
        </w:rPr>
        <w:t xml:space="preserve">）现场的光线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比赛现场为日常照明，正式比赛之前参赛队员有时间标定传感器，但是大赛组织方不保证现场光线绝对不变。随着比赛的进行，现场的阳光可能会有变化。现场可能会有照相机或摄像机的闪光灯、补光灯或者其他赛项的未知光线影响，请参赛队员自行解决。 </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 xml:space="preserve">6.场地平滑度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现场比赛的场地铺在地面上，组委会会尽力保证场地的平整度，但不排除场地褶皱等情况。 </w:t>
      </w:r>
    </w:p>
    <w:p>
      <w:pPr>
        <w:spacing w:line="44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 xml:space="preserve">7.竞赛争议 </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竞赛期间，规则中如有未尽事项以竞赛裁判委员会现场公布为准。</w:t>
      </w:r>
    </w:p>
    <w:p>
      <w:pPr>
        <w:pStyle w:val="31"/>
        <w:spacing w:line="420" w:lineRule="atLeast"/>
        <w:ind w:firstLine="640"/>
        <w:jc w:val="left"/>
        <w:rPr>
          <w:rFonts w:ascii="黑体" w:hAnsi="黑体" w:eastAsia="黑体"/>
          <w:sz w:val="32"/>
          <w:szCs w:val="32"/>
        </w:rPr>
      </w:pPr>
      <w:r>
        <w:rPr>
          <w:rFonts w:hint="eastAsia" w:ascii="黑体" w:hAnsi="黑体" w:eastAsia="黑体"/>
          <w:sz w:val="32"/>
          <w:szCs w:val="32"/>
        </w:rPr>
        <w:t>五、评分标准</w:t>
      </w:r>
    </w:p>
    <w:p>
      <w:pPr>
        <w:spacing w:line="440" w:lineRule="exact"/>
        <w:ind w:firstLine="640" w:firstLineChars="200"/>
        <w:jc w:val="left"/>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（一）竞赛评分</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机器人得分 = 本轮所获的任务分×光电系数</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最终得分 = 机器人得分 + 时间分</w:t>
      </w:r>
    </w:p>
    <w:p>
      <w:pPr>
        <w:spacing w:line="440" w:lineRule="exact"/>
        <w:ind w:firstLine="640" w:firstLineChars="200"/>
        <w:jc w:val="left"/>
        <w:rPr>
          <w:rFonts w:ascii="楷体_GB2312" w:hAnsi="Times New Roman" w:eastAsia="楷体_GB2312" w:cs="Times New Roman"/>
          <w:sz w:val="32"/>
          <w:szCs w:val="32"/>
        </w:rPr>
      </w:pPr>
      <w:r>
        <w:rPr>
          <w:rFonts w:hint="eastAsia" w:ascii="楷体_GB2312" w:hAnsi="Times New Roman" w:eastAsia="楷体_GB2312" w:cs="Times New Roman"/>
          <w:sz w:val="32"/>
          <w:szCs w:val="32"/>
        </w:rPr>
        <w:t>（二）时间得分</w:t>
      </w:r>
    </w:p>
    <w:p>
      <w:pPr>
        <w:spacing w:line="4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只有完成所有“基础任务”、 “轨迹赛任务”和“驿站任务”，才有时间加分。</w:t>
      </w:r>
    </w:p>
    <w:p>
      <w:pPr>
        <w:spacing w:line="440" w:lineRule="exact"/>
        <w:ind w:firstLine="640" w:firstLineChars="200"/>
        <w:jc w:val="left"/>
        <w:rPr>
          <w:rFonts w:ascii="楷体_GB2312" w:hAnsi="Times New Roman" w:eastAsia="楷体_GB2312" w:cs="Times New Roman"/>
          <w:sz w:val="32"/>
          <w:szCs w:val="32"/>
        </w:rPr>
      </w:pPr>
      <w:r>
        <w:rPr>
          <w:rFonts w:hint="eastAsia" w:ascii="楷体_GB2312" w:hAnsi="Times New Roman" w:eastAsia="楷体_GB2312" w:cs="Times New Roman"/>
          <w:sz w:val="32"/>
          <w:szCs w:val="32"/>
        </w:rPr>
        <w:t>（三）时间计时器</w:t>
      </w:r>
    </w:p>
    <w:p>
      <w:pPr>
        <w:spacing w:line="440" w:lineRule="exact"/>
        <w:ind w:firstLine="645"/>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在赛场里放置一个公开时间计时器，记录完成所有任务的时间。从启动时开始计时，到机器人完成所有任务或比赛终止停止计时。</w:t>
      </w:r>
    </w:p>
    <w:p>
      <w:pPr>
        <w:widowControl/>
        <w:jc w:val="center"/>
        <w:rPr>
          <w:rFonts w:ascii="宋体" w:hAnsi="宋体"/>
          <w:kern w:val="0"/>
          <w:sz w:val="24"/>
          <w:szCs w:val="24"/>
        </w:rPr>
      </w:pPr>
      <w:r>
        <w:rPr>
          <w:rFonts w:ascii="宋体" w:hAnsi="宋体"/>
          <w:kern w:val="0"/>
          <w:sz w:val="24"/>
          <w:szCs w:val="24"/>
        </w:rPr>
        <w:drawing>
          <wp:inline distT="0" distB="0" distL="0" distR="0">
            <wp:extent cx="1753870" cy="2560320"/>
            <wp:effectExtent l="0" t="0" r="0" b="0"/>
            <wp:docPr id="9" name="图片 9" descr="C:\Users\elegant\Documents\Tencent Files\284995747\Image\C2C\Image1\%$YM9L$Z]%8RNZPZQ3C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elegant\Documents\Tencent Files\284995747\Image\C2C\Image1\%$YM9L$Z]%8RNZPZQ3CE]X1.png"/>
                    <pic:cNvPicPr>
                      <a:picLocks noChangeAspect="1" noChangeArrowheads="1"/>
                    </pic:cNvPicPr>
                  </pic:nvPicPr>
                  <pic:blipFill>
                    <a:blip r:embed="rId24">
                      <a:extLst>
                        <a:ext uri="{28A0092B-C50C-407E-A947-70E740481C1C}">
                          <a14:useLocalDpi xmlns:a14="http://schemas.microsoft.com/office/drawing/2010/main" val="0"/>
                        </a:ext>
                      </a:extLst>
                    </a:blip>
                    <a:srcRect r="11605" b="4401"/>
                    <a:stretch>
                      <a:fillRect/>
                    </a:stretch>
                  </pic:blipFill>
                  <pic:spPr>
                    <a:xfrm>
                      <a:off x="0" y="0"/>
                      <a:ext cx="1763880" cy="2574698"/>
                    </a:xfrm>
                    <a:prstGeom prst="rect">
                      <a:avLst/>
                    </a:prstGeom>
                    <a:noFill/>
                    <a:ln>
                      <a:noFill/>
                    </a:ln>
                  </pic:spPr>
                </pic:pic>
              </a:graphicData>
            </a:graphic>
          </wp:inline>
        </w:drawing>
      </w:r>
    </w:p>
    <w:p>
      <w:pPr>
        <w:pStyle w:val="31"/>
        <w:spacing w:line="420" w:lineRule="atLeast"/>
        <w:ind w:firstLine="640"/>
        <w:jc w:val="left"/>
        <w:rPr>
          <w:rFonts w:ascii="黑体" w:hAnsi="黑体"/>
          <w:b/>
        </w:rPr>
      </w:pPr>
      <w:r>
        <w:rPr>
          <w:rFonts w:hint="eastAsia" w:ascii="黑体" w:hAnsi="黑体" w:eastAsia="黑体"/>
          <w:sz w:val="32"/>
          <w:szCs w:val="32"/>
        </w:rPr>
        <w:t>六、通用附则</w:t>
      </w:r>
      <w:r>
        <w:rPr>
          <w:rFonts w:ascii="黑体" w:hAnsi="黑体" w:eastAsia="黑体"/>
          <w:sz w:val="32"/>
          <w:szCs w:val="32"/>
        </w:rPr>
        <w:t>（</w:t>
      </w:r>
      <w:r>
        <w:rPr>
          <w:rFonts w:hint="eastAsia" w:ascii="黑体" w:hAnsi="黑体" w:eastAsia="黑体"/>
          <w:sz w:val="32"/>
          <w:szCs w:val="32"/>
        </w:rPr>
        <w:t>见</w:t>
      </w:r>
      <w:r>
        <w:rPr>
          <w:rFonts w:ascii="黑体" w:hAnsi="黑体" w:eastAsia="黑体"/>
          <w:sz w:val="32"/>
          <w:szCs w:val="32"/>
        </w:rPr>
        <w:t>附件</w:t>
      </w:r>
      <w:r>
        <w:rPr>
          <w:rFonts w:hint="eastAsia" w:ascii="黑体" w:hAnsi="黑体" w:eastAsia="黑体"/>
          <w:sz w:val="32"/>
          <w:szCs w:val="32"/>
        </w:rPr>
        <w:t>1</w:t>
      </w:r>
      <w:r>
        <w:rPr>
          <w:rFonts w:ascii="黑体" w:hAnsi="黑体" w:eastAsia="黑体"/>
          <w:sz w:val="32"/>
          <w:szCs w:val="32"/>
        </w:rPr>
        <w:t>0）</w:t>
      </w:r>
    </w:p>
    <w:p>
      <w:pPr>
        <w:widowControl/>
        <w:jc w:val="left"/>
        <w:rPr>
          <w:rFonts w:ascii="仿宋_GB2312" w:hAnsi="Times New Roman" w:eastAsia="仿宋_GB2312" w:cs="Times New Roman"/>
          <w:b/>
          <w:sz w:val="32"/>
          <w:szCs w:val="32"/>
        </w:rPr>
      </w:pPr>
    </w:p>
    <w:p>
      <w:pPr>
        <w:spacing w:line="440" w:lineRule="exact"/>
        <w:jc w:val="center"/>
        <w:rPr>
          <w:rFonts w:ascii="仿宋_GB2312" w:hAnsi="Times New Roman" w:eastAsia="仿宋_GB2312" w:cs="Times New Roman"/>
          <w:b/>
          <w:sz w:val="32"/>
          <w:szCs w:val="32"/>
        </w:rPr>
      </w:pPr>
    </w:p>
    <w:p>
      <w:pPr>
        <w:widowControl/>
        <w:jc w:val="left"/>
        <w:rPr>
          <w:rFonts w:ascii="仿宋_GB2312" w:eastAsia="仿宋_GB2312"/>
          <w:b/>
          <w:bCs/>
          <w:sz w:val="32"/>
          <w:szCs w:val="32"/>
        </w:rPr>
      </w:pPr>
      <w:r>
        <w:rPr>
          <w:rFonts w:ascii="仿宋_GB2312" w:eastAsia="仿宋_GB2312"/>
          <w:b/>
          <w:bCs/>
          <w:sz w:val="32"/>
          <w:szCs w:val="32"/>
        </w:rPr>
        <w:br w:type="page"/>
      </w:r>
    </w:p>
    <w:p>
      <w:pPr>
        <w:jc w:val="center"/>
        <w:rPr>
          <w:rFonts w:ascii="仿宋_GB2312" w:eastAsia="仿宋_GB2312"/>
          <w:b/>
          <w:bCs/>
          <w:sz w:val="32"/>
          <w:szCs w:val="32"/>
        </w:rPr>
      </w:pPr>
      <w:r>
        <w:rPr>
          <w:rFonts w:hint="eastAsia" w:ascii="仿宋_GB2312" w:eastAsia="仿宋_GB2312"/>
          <w:b/>
          <w:bCs/>
          <w:sz w:val="32"/>
          <w:szCs w:val="32"/>
        </w:rPr>
        <w:t>超级轨迹赛任务分值表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485"/>
        <w:gridCol w:w="1595"/>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40" w:type="dxa"/>
            <w:vAlign w:val="center"/>
          </w:tcPr>
          <w:p>
            <w:pPr>
              <w:jc w:val="center"/>
              <w:rPr>
                <w:rFonts w:ascii="仿宋" w:hAnsi="仿宋" w:eastAsia="仿宋" w:cs="仿宋"/>
                <w:sz w:val="28"/>
                <w:szCs w:val="28"/>
              </w:rPr>
            </w:pPr>
            <w:r>
              <w:rPr>
                <w:rFonts w:hint="eastAsia" w:ascii="仿宋" w:hAnsi="仿宋" w:eastAsia="仿宋" w:cs="仿宋"/>
                <w:sz w:val="28"/>
                <w:szCs w:val="28"/>
              </w:rPr>
              <w:t>任务类型</w:t>
            </w: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任务名称</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任务分值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jc w:val="center"/>
              <w:rPr>
                <w:rFonts w:ascii="仿宋" w:hAnsi="仿宋" w:eastAsia="仿宋" w:cs="仿宋"/>
                <w:sz w:val="28"/>
                <w:szCs w:val="28"/>
              </w:rPr>
            </w:pPr>
            <w:r>
              <w:rPr>
                <w:rFonts w:hint="eastAsia" w:ascii="仿宋" w:hAnsi="仿宋" w:eastAsia="仿宋" w:cs="仿宋"/>
                <w:sz w:val="28"/>
                <w:szCs w:val="28"/>
              </w:rPr>
              <w:t>基础任务</w:t>
            </w: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丝绸之路</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10分/个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轨迹赛任务</w:t>
            </w: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走出国门</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jc w:val="center"/>
              <w:rPr>
                <w:rFonts w:ascii="仿宋" w:hAnsi="仿宋" w:eastAsia="仿宋" w:cs="仿宋"/>
                <w:sz w:val="28"/>
                <w:szCs w:val="28"/>
              </w:rPr>
            </w:pP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穿越冰川</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jc w:val="center"/>
              <w:rPr>
                <w:rFonts w:ascii="仿宋" w:hAnsi="仿宋" w:eastAsia="仿宋" w:cs="仿宋"/>
                <w:sz w:val="28"/>
                <w:szCs w:val="28"/>
              </w:rPr>
            </w:pP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清理障碍</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jc w:val="center"/>
              <w:rPr>
                <w:rFonts w:ascii="仿宋" w:hAnsi="仿宋" w:eastAsia="仿宋" w:cs="仿宋"/>
                <w:sz w:val="28"/>
                <w:szCs w:val="28"/>
              </w:rPr>
            </w:pP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荒芜之地</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jc w:val="center"/>
              <w:rPr>
                <w:rFonts w:ascii="仿宋" w:hAnsi="仿宋" w:eastAsia="仿宋" w:cs="仿宋"/>
                <w:sz w:val="28"/>
                <w:szCs w:val="28"/>
              </w:rPr>
            </w:pP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组装动车</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jc w:val="center"/>
              <w:rPr>
                <w:rFonts w:ascii="仿宋" w:hAnsi="仿宋" w:eastAsia="仿宋" w:cs="仿宋"/>
                <w:sz w:val="28"/>
                <w:szCs w:val="28"/>
              </w:rPr>
            </w:pP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挑战任务</w:t>
            </w:r>
          </w:p>
        </w:tc>
        <w:tc>
          <w:tcPr>
            <w:tcW w:w="2602" w:type="dxa"/>
            <w:vAlign w:val="center"/>
          </w:tcPr>
          <w:p>
            <w:pPr>
              <w:jc w:val="center"/>
              <w:rPr>
                <w:rFonts w:ascii="仿宋" w:hAnsi="仿宋" w:eastAsia="仿宋" w:cs="仿宋"/>
                <w:sz w:val="28"/>
                <w:szCs w:val="28"/>
              </w:rPr>
            </w:pPr>
            <w:r>
              <w:rPr>
                <w:rFonts w:ascii="仿宋" w:hAnsi="仿宋" w:eastAsia="仿宋" w:cs="仿宋"/>
                <w:sz w:val="28"/>
                <w:szCs w:val="28"/>
              </w:rPr>
              <w:t>25</w:t>
            </w:r>
            <w:r>
              <w:rPr>
                <w:rFonts w:hint="eastAsia" w:ascii="仿宋" w:hAnsi="仿宋" w:eastAsia="仿宋" w:cs="仿宋"/>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2840" w:type="dxa"/>
            <w:vMerge w:val="continue"/>
            <w:vAlign w:val="center"/>
          </w:tcPr>
          <w:p>
            <w:pPr>
              <w:jc w:val="center"/>
              <w:rPr>
                <w:rFonts w:ascii="仿宋" w:hAnsi="仿宋" w:eastAsia="仿宋" w:cs="仿宋"/>
                <w:sz w:val="28"/>
                <w:szCs w:val="28"/>
              </w:rPr>
            </w:pPr>
          </w:p>
        </w:tc>
        <w:tc>
          <w:tcPr>
            <w:tcW w:w="1485" w:type="dxa"/>
            <w:vMerge w:val="restart"/>
            <w:vAlign w:val="center"/>
          </w:tcPr>
          <w:p>
            <w:pPr>
              <w:jc w:val="center"/>
              <w:rPr>
                <w:rFonts w:ascii="仿宋" w:hAnsi="仿宋" w:eastAsia="仿宋" w:cs="仿宋"/>
                <w:sz w:val="28"/>
                <w:szCs w:val="28"/>
              </w:rPr>
            </w:pPr>
            <w:r>
              <w:rPr>
                <w:rFonts w:hint="eastAsia" w:ascii="仿宋" w:hAnsi="仿宋" w:eastAsia="仿宋" w:cs="仿宋"/>
                <w:sz w:val="28"/>
                <w:szCs w:val="28"/>
              </w:rPr>
              <w:t>跨境物流</w:t>
            </w:r>
          </w:p>
        </w:tc>
        <w:tc>
          <w:tcPr>
            <w:tcW w:w="1595" w:type="dxa"/>
            <w:vAlign w:val="center"/>
          </w:tcPr>
          <w:p>
            <w:pPr>
              <w:jc w:val="center"/>
              <w:rPr>
                <w:rFonts w:ascii="仿宋" w:hAnsi="仿宋" w:eastAsia="仿宋" w:cs="仿宋"/>
                <w:sz w:val="28"/>
                <w:szCs w:val="28"/>
              </w:rPr>
            </w:pPr>
            <w:r>
              <w:rPr>
                <w:rFonts w:hint="eastAsia" w:ascii="仿宋" w:hAnsi="仿宋" w:eastAsia="仿宋" w:cs="仿宋"/>
                <w:sz w:val="28"/>
                <w:szCs w:val="28"/>
              </w:rPr>
              <w:t>接收快件</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2840" w:type="dxa"/>
            <w:vMerge w:val="continue"/>
            <w:vAlign w:val="center"/>
          </w:tcPr>
          <w:p>
            <w:pPr>
              <w:jc w:val="center"/>
              <w:rPr>
                <w:rFonts w:ascii="仿宋" w:hAnsi="仿宋" w:eastAsia="仿宋" w:cs="仿宋"/>
                <w:sz w:val="28"/>
                <w:szCs w:val="28"/>
              </w:rPr>
            </w:pPr>
          </w:p>
        </w:tc>
        <w:tc>
          <w:tcPr>
            <w:tcW w:w="1485" w:type="dxa"/>
            <w:vMerge w:val="continue"/>
            <w:vAlign w:val="center"/>
          </w:tcPr>
          <w:p>
            <w:pPr>
              <w:jc w:val="center"/>
              <w:rPr>
                <w:rFonts w:ascii="仿宋" w:hAnsi="仿宋" w:eastAsia="仿宋" w:cs="仿宋"/>
                <w:sz w:val="28"/>
                <w:szCs w:val="28"/>
              </w:rPr>
            </w:pPr>
          </w:p>
        </w:tc>
        <w:tc>
          <w:tcPr>
            <w:tcW w:w="1595" w:type="dxa"/>
            <w:vAlign w:val="center"/>
          </w:tcPr>
          <w:p>
            <w:pPr>
              <w:jc w:val="center"/>
              <w:rPr>
                <w:rFonts w:ascii="仿宋" w:hAnsi="仿宋" w:eastAsia="仿宋" w:cs="仿宋"/>
                <w:sz w:val="28"/>
                <w:szCs w:val="28"/>
              </w:rPr>
            </w:pPr>
            <w:r>
              <w:rPr>
                <w:rFonts w:hint="eastAsia" w:ascii="仿宋" w:hAnsi="仿宋" w:eastAsia="仿宋" w:cs="仿宋"/>
                <w:sz w:val="28"/>
                <w:szCs w:val="28"/>
              </w:rPr>
              <w:t>投递快件</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840" w:type="dxa"/>
            <w:vAlign w:val="center"/>
          </w:tcPr>
          <w:p>
            <w:pPr>
              <w:jc w:val="center"/>
              <w:rPr>
                <w:rFonts w:ascii="仿宋" w:hAnsi="仿宋" w:eastAsia="仿宋" w:cs="仿宋"/>
                <w:sz w:val="28"/>
                <w:szCs w:val="28"/>
              </w:rPr>
            </w:pPr>
            <w:r>
              <w:rPr>
                <w:rFonts w:hint="eastAsia" w:ascii="仿宋" w:hAnsi="仿宋" w:eastAsia="仿宋" w:cs="仿宋"/>
                <w:sz w:val="28"/>
                <w:szCs w:val="28"/>
              </w:rPr>
              <w:t>驿站</w:t>
            </w: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修整</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840" w:type="dxa"/>
            <w:vAlign w:val="center"/>
          </w:tcPr>
          <w:p>
            <w:pPr>
              <w:jc w:val="center"/>
              <w:rPr>
                <w:rFonts w:ascii="仿宋" w:hAnsi="仿宋" w:eastAsia="仿宋" w:cs="仿宋"/>
                <w:sz w:val="28"/>
                <w:szCs w:val="28"/>
              </w:rPr>
            </w:pPr>
            <w:r>
              <w:rPr>
                <w:rFonts w:hint="eastAsia" w:ascii="仿宋" w:hAnsi="仿宋" w:eastAsia="仿宋" w:cs="仿宋"/>
                <w:sz w:val="28"/>
                <w:szCs w:val="28"/>
              </w:rPr>
              <w:t>时间分数</w:t>
            </w:r>
          </w:p>
        </w:tc>
        <w:tc>
          <w:tcPr>
            <w:tcW w:w="3080"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时间得分</w:t>
            </w:r>
          </w:p>
        </w:tc>
        <w:tc>
          <w:tcPr>
            <w:tcW w:w="2602" w:type="dxa"/>
            <w:vAlign w:val="center"/>
          </w:tcPr>
          <w:p>
            <w:pPr>
              <w:jc w:val="center"/>
              <w:rPr>
                <w:rFonts w:ascii="仿宋" w:hAnsi="仿宋" w:eastAsia="仿宋" w:cs="仿宋"/>
                <w:sz w:val="28"/>
                <w:szCs w:val="28"/>
              </w:rPr>
            </w:pPr>
            <w:r>
              <w:rPr>
                <w:rFonts w:hint="eastAsia" w:ascii="仿宋" w:hAnsi="仿宋" w:eastAsia="仿宋" w:cs="仿宋"/>
                <w:sz w:val="28"/>
                <w:szCs w:val="28"/>
              </w:rPr>
              <w:t>1分/秒</w:t>
            </w:r>
          </w:p>
        </w:tc>
      </w:tr>
    </w:tbl>
    <w:p>
      <w:pPr>
        <w:rPr>
          <w:rFonts w:ascii="仿宋" w:hAnsi="仿宋" w:eastAsia="仿宋" w:cs="仿宋"/>
          <w:sz w:val="28"/>
          <w:szCs w:val="28"/>
          <w:u w:val="single"/>
        </w:rPr>
        <w:sectPr>
          <w:footerReference r:id="rId3" w:type="default"/>
          <w:pgSz w:w="11906" w:h="16838"/>
          <w:pgMar w:top="1440" w:right="1800" w:bottom="1440" w:left="1800" w:header="851" w:footer="992" w:gutter="0"/>
          <w:pgNumType w:fmt="numberInDash"/>
          <w:cols w:space="425" w:num="1"/>
          <w:docGrid w:type="lines" w:linePitch="312" w:charSpace="0"/>
        </w:sectPr>
      </w:pPr>
    </w:p>
    <w:p>
      <w:pPr>
        <w:jc w:val="center"/>
        <w:rPr>
          <w:b/>
          <w:bCs/>
          <w:sz w:val="28"/>
          <w:szCs w:val="28"/>
        </w:rPr>
      </w:pPr>
    </w:p>
    <w:p>
      <w:pPr>
        <w:jc w:val="center"/>
        <w:rPr>
          <w:rFonts w:ascii="仿宋_GB2312" w:eastAsia="仿宋_GB2312"/>
          <w:b/>
          <w:bCs/>
          <w:sz w:val="32"/>
          <w:szCs w:val="32"/>
        </w:rPr>
      </w:pPr>
      <w:r>
        <w:rPr>
          <w:rFonts w:hint="eastAsia" w:ascii="仿宋_GB2312" w:eastAsia="仿宋_GB2312"/>
          <w:b/>
          <w:bCs/>
          <w:sz w:val="32"/>
          <w:szCs w:val="32"/>
        </w:rPr>
        <w:t>“一带一路”超级轨迹赛记分表</w:t>
      </w:r>
    </w:p>
    <w:p>
      <w:pPr>
        <w:ind w:firstLine="1046" w:firstLineChars="496"/>
        <w:rPr>
          <w:rFonts w:ascii="仿宋_GB2312" w:eastAsia="仿宋_GB2312"/>
        </w:rPr>
      </w:pPr>
      <w:r>
        <w:rPr>
          <w:rFonts w:hint="eastAsia" w:ascii="仿宋_GB2312" w:eastAsia="仿宋_GB2312"/>
          <w:b/>
          <w:bCs/>
        </w:rPr>
        <w:t>参赛队：</w:t>
      </w:r>
      <w:r>
        <w:rPr>
          <w:rFonts w:hint="eastAsia" w:ascii="仿宋_GB2312" w:eastAsia="仿宋_GB2312"/>
        </w:rPr>
        <w:t xml:space="preserve">___________________                               </w:t>
      </w:r>
      <w:r>
        <w:rPr>
          <w:rFonts w:hint="eastAsia" w:ascii="仿宋_GB2312" w:eastAsia="仿宋_GB2312"/>
          <w:b/>
          <w:bCs/>
        </w:rPr>
        <w:t>组别：</w:t>
      </w:r>
      <w:r>
        <w:rPr>
          <w:rFonts w:hint="eastAsia" w:ascii="仿宋_GB2312" w:eastAsia="仿宋_GB2312"/>
        </w:rPr>
        <w:t>_________________</w:t>
      </w:r>
    </w:p>
    <w:p>
      <w:pPr>
        <w:ind w:firstLine="1041" w:firstLineChars="496"/>
        <w:rPr>
          <w:rFonts w:ascii="仿宋_GB2312" w:eastAsia="仿宋_GB2312"/>
        </w:rPr>
      </w:pPr>
    </w:p>
    <w:tbl>
      <w:tblPr>
        <w:tblStyle w:val="33"/>
        <w:tblW w:w="91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567"/>
        <w:gridCol w:w="567"/>
        <w:gridCol w:w="567"/>
        <w:gridCol w:w="567"/>
        <w:gridCol w:w="567"/>
        <w:gridCol w:w="331"/>
        <w:gridCol w:w="50"/>
        <w:gridCol w:w="186"/>
        <w:gridCol w:w="567"/>
        <w:gridCol w:w="508"/>
        <w:gridCol w:w="574"/>
        <w:gridCol w:w="52"/>
        <w:gridCol w:w="519"/>
        <w:gridCol w:w="565"/>
        <w:gridCol w:w="109"/>
        <w:gridCol w:w="441"/>
        <w:gridCol w:w="542"/>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32" w:type="dxa"/>
            <w:gridSpan w:val="19"/>
            <w:tcBorders>
              <w:top w:val="single" w:color="auto" w:sz="18" w:space="0"/>
              <w:left w:val="single" w:color="auto" w:sz="18" w:space="0"/>
              <w:righ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丝绸之路任务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18" w:type="dxa"/>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赛道</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A</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B</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C</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D</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E</w:t>
            </w:r>
          </w:p>
        </w:tc>
        <w:tc>
          <w:tcPr>
            <w:tcW w:w="567" w:type="dxa"/>
            <w:gridSpan w:val="3"/>
            <w:vAlign w:val="center"/>
          </w:tcPr>
          <w:p>
            <w:pPr>
              <w:jc w:val="center"/>
              <w:rPr>
                <w:rFonts w:ascii="仿宋_GB2312" w:hAnsi="宋体" w:eastAsia="仿宋_GB2312"/>
                <w:kern w:val="0"/>
                <w:szCs w:val="21"/>
              </w:rPr>
            </w:pPr>
            <w:r>
              <w:rPr>
                <w:rFonts w:hint="eastAsia" w:ascii="仿宋_GB2312" w:hAnsi="宋体" w:eastAsia="仿宋_GB2312"/>
                <w:kern w:val="0"/>
                <w:szCs w:val="21"/>
              </w:rPr>
              <w:t>F</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G</w:t>
            </w:r>
          </w:p>
        </w:tc>
        <w:tc>
          <w:tcPr>
            <w:tcW w:w="508"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H</w:t>
            </w:r>
          </w:p>
        </w:tc>
        <w:tc>
          <w:tcPr>
            <w:tcW w:w="574"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I</w:t>
            </w:r>
          </w:p>
        </w:tc>
        <w:tc>
          <w:tcPr>
            <w:tcW w:w="571" w:type="dxa"/>
            <w:gridSpan w:val="2"/>
            <w:vAlign w:val="center"/>
          </w:tcPr>
          <w:p>
            <w:pPr>
              <w:jc w:val="center"/>
              <w:rPr>
                <w:rFonts w:ascii="仿宋_GB2312" w:hAnsi="宋体" w:eastAsia="仿宋_GB2312"/>
                <w:kern w:val="0"/>
                <w:szCs w:val="21"/>
              </w:rPr>
            </w:pPr>
            <w:r>
              <w:rPr>
                <w:rFonts w:hint="eastAsia" w:ascii="仿宋_GB2312" w:hAnsi="宋体" w:eastAsia="仿宋_GB2312"/>
                <w:kern w:val="0"/>
                <w:szCs w:val="21"/>
              </w:rPr>
              <w:t>J</w:t>
            </w:r>
          </w:p>
        </w:tc>
        <w:tc>
          <w:tcPr>
            <w:tcW w:w="565"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K</w:t>
            </w:r>
          </w:p>
        </w:tc>
        <w:tc>
          <w:tcPr>
            <w:tcW w:w="550" w:type="dxa"/>
            <w:gridSpan w:val="2"/>
            <w:vAlign w:val="center"/>
          </w:tcPr>
          <w:p>
            <w:pPr>
              <w:jc w:val="center"/>
              <w:rPr>
                <w:rFonts w:ascii="仿宋_GB2312" w:hAnsi="宋体" w:eastAsia="仿宋_GB2312"/>
                <w:kern w:val="0"/>
                <w:szCs w:val="21"/>
              </w:rPr>
            </w:pPr>
            <w:r>
              <w:rPr>
                <w:rFonts w:hint="eastAsia" w:ascii="仿宋_GB2312" w:hAnsi="宋体" w:eastAsia="仿宋_GB2312"/>
                <w:kern w:val="0"/>
                <w:szCs w:val="21"/>
              </w:rPr>
              <w:t>L</w:t>
            </w:r>
          </w:p>
        </w:tc>
        <w:tc>
          <w:tcPr>
            <w:tcW w:w="542"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M</w:t>
            </w:r>
          </w:p>
        </w:tc>
        <w:tc>
          <w:tcPr>
            <w:tcW w:w="535" w:type="dxa"/>
            <w:tcBorders>
              <w:bottom w:val="single" w:color="auto" w:sz="4" w:space="0"/>
              <w:righ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18" w:type="dxa"/>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分数</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gridSpan w:val="3"/>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7"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08"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74"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71" w:type="dxa"/>
            <w:gridSpan w:val="2"/>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65"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50" w:type="dxa"/>
            <w:gridSpan w:val="2"/>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42" w:type="dxa"/>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c>
          <w:tcPr>
            <w:tcW w:w="535" w:type="dxa"/>
            <w:tcBorders>
              <w:righ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exact"/>
          <w:jc w:val="center"/>
        </w:trPr>
        <w:tc>
          <w:tcPr>
            <w:tcW w:w="1318" w:type="dxa"/>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第一轮得分</w:t>
            </w: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gridSpan w:val="3"/>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08" w:type="dxa"/>
            <w:vAlign w:val="center"/>
          </w:tcPr>
          <w:p>
            <w:pPr>
              <w:jc w:val="center"/>
              <w:rPr>
                <w:rFonts w:ascii="仿宋_GB2312" w:hAnsi="宋体" w:eastAsia="仿宋_GB2312"/>
                <w:kern w:val="0"/>
                <w:szCs w:val="21"/>
              </w:rPr>
            </w:pPr>
          </w:p>
        </w:tc>
        <w:tc>
          <w:tcPr>
            <w:tcW w:w="574" w:type="dxa"/>
            <w:vAlign w:val="center"/>
          </w:tcPr>
          <w:p>
            <w:pPr>
              <w:jc w:val="center"/>
              <w:rPr>
                <w:rFonts w:ascii="仿宋_GB2312" w:hAnsi="宋体" w:eastAsia="仿宋_GB2312"/>
                <w:kern w:val="0"/>
                <w:szCs w:val="21"/>
              </w:rPr>
            </w:pPr>
          </w:p>
        </w:tc>
        <w:tc>
          <w:tcPr>
            <w:tcW w:w="571" w:type="dxa"/>
            <w:gridSpan w:val="2"/>
            <w:vAlign w:val="center"/>
          </w:tcPr>
          <w:p>
            <w:pPr>
              <w:jc w:val="center"/>
              <w:rPr>
                <w:rFonts w:ascii="仿宋_GB2312" w:hAnsi="宋体" w:eastAsia="仿宋_GB2312"/>
                <w:kern w:val="0"/>
                <w:szCs w:val="21"/>
              </w:rPr>
            </w:pPr>
          </w:p>
        </w:tc>
        <w:tc>
          <w:tcPr>
            <w:tcW w:w="565" w:type="dxa"/>
            <w:vAlign w:val="center"/>
          </w:tcPr>
          <w:p>
            <w:pPr>
              <w:jc w:val="center"/>
              <w:rPr>
                <w:rFonts w:ascii="仿宋_GB2312" w:hAnsi="宋体" w:eastAsia="仿宋_GB2312"/>
                <w:kern w:val="0"/>
                <w:szCs w:val="21"/>
              </w:rPr>
            </w:pPr>
          </w:p>
        </w:tc>
        <w:tc>
          <w:tcPr>
            <w:tcW w:w="550" w:type="dxa"/>
            <w:gridSpan w:val="2"/>
            <w:vAlign w:val="center"/>
          </w:tcPr>
          <w:p>
            <w:pPr>
              <w:jc w:val="center"/>
              <w:rPr>
                <w:rFonts w:ascii="仿宋_GB2312" w:hAnsi="宋体" w:eastAsia="仿宋_GB2312"/>
                <w:kern w:val="0"/>
                <w:szCs w:val="21"/>
              </w:rPr>
            </w:pPr>
          </w:p>
        </w:tc>
        <w:tc>
          <w:tcPr>
            <w:tcW w:w="542" w:type="dxa"/>
            <w:vAlign w:val="center"/>
          </w:tcPr>
          <w:p>
            <w:pPr>
              <w:jc w:val="center"/>
              <w:rPr>
                <w:rFonts w:ascii="仿宋_GB2312" w:hAnsi="宋体" w:eastAsia="仿宋_GB2312"/>
                <w:kern w:val="0"/>
                <w:szCs w:val="21"/>
              </w:rPr>
            </w:pPr>
          </w:p>
        </w:tc>
        <w:tc>
          <w:tcPr>
            <w:tcW w:w="535" w:type="dxa"/>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exact"/>
          <w:jc w:val="center"/>
        </w:trPr>
        <w:tc>
          <w:tcPr>
            <w:tcW w:w="1318" w:type="dxa"/>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第二轮得分</w:t>
            </w: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67" w:type="dxa"/>
            <w:gridSpan w:val="3"/>
            <w:vAlign w:val="center"/>
          </w:tcPr>
          <w:p>
            <w:pPr>
              <w:jc w:val="center"/>
              <w:rPr>
                <w:rFonts w:ascii="仿宋_GB2312" w:hAnsi="宋体" w:eastAsia="仿宋_GB2312"/>
                <w:kern w:val="0"/>
                <w:szCs w:val="21"/>
              </w:rPr>
            </w:pPr>
          </w:p>
        </w:tc>
        <w:tc>
          <w:tcPr>
            <w:tcW w:w="567" w:type="dxa"/>
            <w:vAlign w:val="center"/>
          </w:tcPr>
          <w:p>
            <w:pPr>
              <w:jc w:val="center"/>
              <w:rPr>
                <w:rFonts w:ascii="仿宋_GB2312" w:hAnsi="宋体" w:eastAsia="仿宋_GB2312"/>
                <w:kern w:val="0"/>
                <w:szCs w:val="21"/>
              </w:rPr>
            </w:pPr>
          </w:p>
        </w:tc>
        <w:tc>
          <w:tcPr>
            <w:tcW w:w="508" w:type="dxa"/>
            <w:vAlign w:val="center"/>
          </w:tcPr>
          <w:p>
            <w:pPr>
              <w:jc w:val="center"/>
              <w:rPr>
                <w:rFonts w:ascii="仿宋_GB2312" w:hAnsi="宋体" w:eastAsia="仿宋_GB2312"/>
                <w:kern w:val="0"/>
                <w:szCs w:val="21"/>
              </w:rPr>
            </w:pPr>
          </w:p>
        </w:tc>
        <w:tc>
          <w:tcPr>
            <w:tcW w:w="574" w:type="dxa"/>
            <w:vAlign w:val="center"/>
          </w:tcPr>
          <w:p>
            <w:pPr>
              <w:jc w:val="center"/>
              <w:rPr>
                <w:rFonts w:ascii="仿宋_GB2312" w:hAnsi="宋体" w:eastAsia="仿宋_GB2312"/>
                <w:kern w:val="0"/>
                <w:szCs w:val="21"/>
              </w:rPr>
            </w:pPr>
          </w:p>
        </w:tc>
        <w:tc>
          <w:tcPr>
            <w:tcW w:w="571" w:type="dxa"/>
            <w:gridSpan w:val="2"/>
            <w:vAlign w:val="center"/>
          </w:tcPr>
          <w:p>
            <w:pPr>
              <w:jc w:val="center"/>
              <w:rPr>
                <w:rFonts w:ascii="仿宋_GB2312" w:hAnsi="宋体" w:eastAsia="仿宋_GB2312"/>
                <w:kern w:val="0"/>
                <w:szCs w:val="21"/>
              </w:rPr>
            </w:pPr>
          </w:p>
        </w:tc>
        <w:tc>
          <w:tcPr>
            <w:tcW w:w="565" w:type="dxa"/>
            <w:vAlign w:val="center"/>
          </w:tcPr>
          <w:p>
            <w:pPr>
              <w:jc w:val="center"/>
              <w:rPr>
                <w:rFonts w:ascii="仿宋_GB2312" w:hAnsi="宋体" w:eastAsia="仿宋_GB2312"/>
                <w:kern w:val="0"/>
                <w:szCs w:val="21"/>
              </w:rPr>
            </w:pPr>
          </w:p>
        </w:tc>
        <w:tc>
          <w:tcPr>
            <w:tcW w:w="550" w:type="dxa"/>
            <w:gridSpan w:val="2"/>
            <w:vAlign w:val="center"/>
          </w:tcPr>
          <w:p>
            <w:pPr>
              <w:jc w:val="center"/>
              <w:rPr>
                <w:rFonts w:ascii="仿宋_GB2312" w:hAnsi="宋体" w:eastAsia="仿宋_GB2312"/>
                <w:kern w:val="0"/>
                <w:szCs w:val="21"/>
              </w:rPr>
            </w:pPr>
          </w:p>
        </w:tc>
        <w:tc>
          <w:tcPr>
            <w:tcW w:w="542" w:type="dxa"/>
            <w:vAlign w:val="center"/>
          </w:tcPr>
          <w:p>
            <w:pPr>
              <w:jc w:val="center"/>
              <w:rPr>
                <w:rFonts w:ascii="仿宋_GB2312" w:hAnsi="宋体" w:eastAsia="仿宋_GB2312"/>
                <w:kern w:val="0"/>
                <w:szCs w:val="21"/>
              </w:rPr>
            </w:pPr>
          </w:p>
        </w:tc>
        <w:tc>
          <w:tcPr>
            <w:tcW w:w="535" w:type="dxa"/>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exact"/>
          <w:jc w:val="center"/>
        </w:trPr>
        <w:tc>
          <w:tcPr>
            <w:tcW w:w="6369" w:type="dxa"/>
            <w:gridSpan w:val="12"/>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丝绸之路第一轮总分</w:t>
            </w:r>
          </w:p>
        </w:tc>
        <w:tc>
          <w:tcPr>
            <w:tcW w:w="2763" w:type="dxa"/>
            <w:gridSpan w:val="7"/>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6369" w:type="dxa"/>
            <w:gridSpan w:val="12"/>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丝绸之路第二轮总分</w:t>
            </w:r>
          </w:p>
        </w:tc>
        <w:tc>
          <w:tcPr>
            <w:tcW w:w="2763" w:type="dxa"/>
            <w:gridSpan w:val="7"/>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exact"/>
          <w:jc w:val="center"/>
        </w:trPr>
        <w:tc>
          <w:tcPr>
            <w:tcW w:w="9132" w:type="dxa"/>
            <w:gridSpan w:val="19"/>
            <w:tcBorders>
              <w:left w:val="single" w:color="auto" w:sz="18" w:space="0"/>
              <w:right w:val="single" w:color="auto" w:sz="18" w:space="0"/>
            </w:tcBorders>
            <w:shd w:val="clear" w:color="auto" w:fill="F2F2F2"/>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9132" w:type="dxa"/>
            <w:gridSpan w:val="19"/>
            <w:tcBorders>
              <w:left w:val="single" w:color="auto" w:sz="18" w:space="0"/>
              <w:righ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轨迹赛任务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任务</w:t>
            </w:r>
          </w:p>
        </w:tc>
        <w:tc>
          <w:tcPr>
            <w:tcW w:w="4536" w:type="dxa"/>
            <w:gridSpan w:val="11"/>
            <w:vAlign w:val="center"/>
          </w:tcPr>
          <w:p>
            <w:pPr>
              <w:spacing w:line="160" w:lineRule="atLeast"/>
              <w:jc w:val="center"/>
              <w:rPr>
                <w:rFonts w:ascii="仿宋_GB2312" w:hAnsi="宋体" w:eastAsia="仿宋_GB2312"/>
                <w:kern w:val="0"/>
                <w:szCs w:val="21"/>
              </w:rPr>
            </w:pPr>
            <w:r>
              <w:rPr>
                <w:rFonts w:hint="eastAsia" w:ascii="仿宋_GB2312" w:hAnsi="宋体" w:eastAsia="仿宋_GB2312"/>
                <w:kern w:val="0"/>
                <w:szCs w:val="21"/>
              </w:rPr>
              <w:t>分值</w:t>
            </w:r>
          </w:p>
        </w:tc>
        <w:tc>
          <w:tcPr>
            <w:tcW w:w="1193" w:type="dxa"/>
            <w:gridSpan w:val="3"/>
            <w:vAlign w:val="center"/>
          </w:tcPr>
          <w:p>
            <w:pPr>
              <w:spacing w:line="160" w:lineRule="atLeast"/>
              <w:jc w:val="center"/>
              <w:rPr>
                <w:rFonts w:ascii="仿宋_GB2312" w:hAnsi="宋体" w:eastAsia="仿宋_GB2312"/>
                <w:kern w:val="0"/>
                <w:szCs w:val="21"/>
              </w:rPr>
            </w:pPr>
            <w:r>
              <w:rPr>
                <w:rFonts w:hint="eastAsia" w:ascii="仿宋_GB2312" w:hAnsi="宋体" w:eastAsia="仿宋_GB2312"/>
                <w:kern w:val="0"/>
                <w:szCs w:val="21"/>
              </w:rPr>
              <w:t>第一轮</w:t>
            </w: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r>
              <w:rPr>
                <w:rFonts w:hint="eastAsia" w:ascii="仿宋_GB2312" w:hAnsi="宋体" w:eastAsia="仿宋_GB2312"/>
                <w:kern w:val="0"/>
                <w:szCs w:val="21"/>
              </w:rPr>
              <w:t>第二轮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走出国门</w:t>
            </w:r>
          </w:p>
        </w:tc>
        <w:tc>
          <w:tcPr>
            <w:tcW w:w="4536" w:type="dxa"/>
            <w:gridSpan w:val="11"/>
            <w:vAlign w:val="center"/>
          </w:tcPr>
          <w:p>
            <w:pPr>
              <w:spacing w:line="160" w:lineRule="atLeast"/>
              <w:jc w:val="center"/>
              <w:rPr>
                <w:rFonts w:ascii="仿宋_GB2312" w:eastAsia="仿宋_GB2312"/>
              </w:rPr>
            </w:pPr>
            <w:r>
              <w:rPr>
                <w:rFonts w:hint="eastAsia" w:ascii="仿宋_GB2312" w:eastAsia="仿宋_GB2312"/>
              </w:rPr>
              <w:t>15分</w:t>
            </w:r>
          </w:p>
        </w:tc>
        <w:tc>
          <w:tcPr>
            <w:tcW w:w="1193" w:type="dxa"/>
            <w:gridSpan w:val="3"/>
            <w:vAlign w:val="center"/>
          </w:tcPr>
          <w:p>
            <w:pPr>
              <w:spacing w:line="160" w:lineRule="atLeast"/>
              <w:jc w:val="center"/>
              <w:rPr>
                <w:rFonts w:ascii="仿宋_GB2312" w:hAnsi="宋体" w:eastAsia="仿宋_GB2312"/>
                <w:kern w:val="0"/>
                <w:szCs w:val="21"/>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穿越冰川</w:t>
            </w:r>
          </w:p>
        </w:tc>
        <w:tc>
          <w:tcPr>
            <w:tcW w:w="4536" w:type="dxa"/>
            <w:gridSpan w:val="11"/>
            <w:vAlign w:val="center"/>
          </w:tcPr>
          <w:p>
            <w:pPr>
              <w:spacing w:line="160" w:lineRule="atLeast"/>
              <w:jc w:val="center"/>
              <w:rPr>
                <w:rFonts w:ascii="仿宋_GB2312" w:eastAsia="仿宋_GB2312"/>
              </w:rPr>
            </w:pPr>
            <w:r>
              <w:rPr>
                <w:rFonts w:hint="eastAsia" w:ascii="仿宋_GB2312" w:eastAsia="仿宋_GB2312"/>
              </w:rPr>
              <w:t>10分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清理障碍</w:t>
            </w:r>
          </w:p>
        </w:tc>
        <w:tc>
          <w:tcPr>
            <w:tcW w:w="4536" w:type="dxa"/>
            <w:gridSpan w:val="11"/>
            <w:vAlign w:val="center"/>
          </w:tcPr>
          <w:p>
            <w:pPr>
              <w:spacing w:line="160" w:lineRule="atLeast"/>
              <w:jc w:val="center"/>
              <w:rPr>
                <w:rFonts w:ascii="仿宋_GB2312" w:eastAsia="仿宋_GB2312"/>
              </w:rPr>
            </w:pPr>
            <w:r>
              <w:rPr>
                <w:rFonts w:hint="eastAsia" w:ascii="仿宋_GB2312" w:eastAsia="仿宋_GB2312"/>
              </w:rPr>
              <w:t>15分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荒芜之地</w:t>
            </w:r>
          </w:p>
        </w:tc>
        <w:tc>
          <w:tcPr>
            <w:tcW w:w="4536" w:type="dxa"/>
            <w:gridSpan w:val="11"/>
            <w:vAlign w:val="center"/>
          </w:tcPr>
          <w:p>
            <w:pPr>
              <w:spacing w:line="160" w:lineRule="atLeast"/>
              <w:jc w:val="center"/>
              <w:rPr>
                <w:rFonts w:ascii="仿宋_GB2312" w:eastAsia="仿宋_GB2312"/>
              </w:rPr>
            </w:pPr>
            <w:r>
              <w:rPr>
                <w:rFonts w:hint="eastAsia" w:ascii="仿宋_GB2312" w:eastAsia="仿宋_GB2312"/>
              </w:rPr>
              <w:t>20分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组装动车</w:t>
            </w:r>
          </w:p>
        </w:tc>
        <w:tc>
          <w:tcPr>
            <w:tcW w:w="4536" w:type="dxa"/>
            <w:gridSpan w:val="11"/>
            <w:vAlign w:val="center"/>
          </w:tcPr>
          <w:p>
            <w:pPr>
              <w:spacing w:line="160" w:lineRule="atLeast"/>
              <w:jc w:val="center"/>
              <w:rPr>
                <w:rFonts w:ascii="仿宋_GB2312" w:eastAsia="仿宋_GB2312"/>
              </w:rPr>
            </w:pPr>
            <w:r>
              <w:rPr>
                <w:rFonts w:hint="eastAsia" w:ascii="仿宋_GB2312" w:eastAsia="仿宋_GB2312"/>
              </w:rPr>
              <w:t>20分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tcBorders>
              <w:left w:val="single" w:color="auto" w:sz="18" w:space="0"/>
            </w:tcBorders>
            <w:vAlign w:val="center"/>
          </w:tcPr>
          <w:p>
            <w:pPr>
              <w:spacing w:line="160" w:lineRule="atLeast"/>
              <w:jc w:val="center"/>
              <w:rPr>
                <w:rFonts w:ascii="仿宋_GB2312" w:eastAsia="仿宋_GB2312"/>
              </w:rPr>
            </w:pPr>
            <w:r>
              <w:rPr>
                <w:rFonts w:ascii="仿宋_GB2312" w:eastAsia="仿宋_GB2312"/>
              </w:rPr>
              <w:t>挑战任务</w:t>
            </w:r>
          </w:p>
        </w:tc>
        <w:tc>
          <w:tcPr>
            <w:tcW w:w="4536" w:type="dxa"/>
            <w:gridSpan w:val="11"/>
            <w:vAlign w:val="center"/>
          </w:tcPr>
          <w:p>
            <w:pPr>
              <w:spacing w:line="160" w:lineRule="atLeast"/>
              <w:jc w:val="center"/>
              <w:rPr>
                <w:rFonts w:ascii="仿宋_GB2312" w:eastAsia="仿宋_GB2312"/>
              </w:rPr>
            </w:pPr>
            <w:r>
              <w:rPr>
                <w:rFonts w:ascii="仿宋_GB2312" w:eastAsia="仿宋_GB2312"/>
              </w:rPr>
              <w:t>2</w:t>
            </w:r>
            <w:r>
              <w:rPr>
                <w:rFonts w:hint="eastAsia" w:ascii="仿宋_GB2312" w:eastAsia="仿宋_GB2312"/>
              </w:rPr>
              <w:t>5分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vMerge w:val="restart"/>
            <w:tcBorders>
              <w:left w:val="single" w:color="auto" w:sz="18" w:space="0"/>
            </w:tcBorders>
            <w:vAlign w:val="center"/>
          </w:tcPr>
          <w:p>
            <w:pPr>
              <w:spacing w:line="160" w:lineRule="atLeast"/>
              <w:jc w:val="center"/>
              <w:rPr>
                <w:rFonts w:ascii="仿宋_GB2312" w:eastAsia="仿宋_GB2312"/>
              </w:rPr>
            </w:pPr>
            <w:r>
              <w:rPr>
                <w:rFonts w:hint="eastAsia" w:ascii="仿宋_GB2312" w:eastAsia="仿宋_GB2312"/>
              </w:rPr>
              <w:t>跨境物流</w:t>
            </w:r>
          </w:p>
        </w:tc>
        <w:tc>
          <w:tcPr>
            <w:tcW w:w="2599" w:type="dxa"/>
            <w:gridSpan w:val="5"/>
            <w:vAlign w:val="center"/>
          </w:tcPr>
          <w:p>
            <w:pPr>
              <w:spacing w:line="160" w:lineRule="atLeast"/>
              <w:jc w:val="center"/>
              <w:rPr>
                <w:rFonts w:ascii="仿宋_GB2312" w:eastAsia="仿宋_GB2312"/>
              </w:rPr>
            </w:pPr>
            <w:r>
              <w:rPr>
                <w:rFonts w:hint="eastAsia" w:ascii="仿宋_GB2312" w:hAnsi="宋体" w:eastAsia="仿宋_GB2312"/>
                <w:kern w:val="0"/>
                <w:szCs w:val="21"/>
              </w:rPr>
              <w:t>接收快件</w:t>
            </w:r>
          </w:p>
        </w:tc>
        <w:tc>
          <w:tcPr>
            <w:tcW w:w="1937" w:type="dxa"/>
            <w:gridSpan w:val="6"/>
            <w:vAlign w:val="center"/>
          </w:tcPr>
          <w:p>
            <w:pPr>
              <w:spacing w:line="160" w:lineRule="atLeast"/>
              <w:jc w:val="center"/>
              <w:rPr>
                <w:rFonts w:ascii="仿宋_GB2312" w:eastAsia="仿宋_GB2312"/>
              </w:rPr>
            </w:pPr>
            <w:r>
              <w:rPr>
                <w:rFonts w:hint="eastAsia" w:ascii="仿宋_GB2312" w:eastAsia="仿宋_GB2312"/>
              </w:rPr>
              <w:t>20分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85" w:type="dxa"/>
            <w:gridSpan w:val="2"/>
            <w:vMerge w:val="continue"/>
            <w:tcBorders>
              <w:left w:val="single" w:color="auto" w:sz="18" w:space="0"/>
            </w:tcBorders>
            <w:vAlign w:val="center"/>
          </w:tcPr>
          <w:p>
            <w:pPr>
              <w:spacing w:line="160" w:lineRule="atLeast"/>
              <w:jc w:val="center"/>
              <w:rPr>
                <w:rFonts w:ascii="仿宋_GB2312" w:eastAsia="仿宋_GB2312"/>
              </w:rPr>
            </w:pPr>
          </w:p>
        </w:tc>
        <w:tc>
          <w:tcPr>
            <w:tcW w:w="2599" w:type="dxa"/>
            <w:gridSpan w:val="5"/>
            <w:vAlign w:val="center"/>
          </w:tcPr>
          <w:p>
            <w:pPr>
              <w:spacing w:line="160" w:lineRule="atLeast"/>
              <w:jc w:val="center"/>
              <w:rPr>
                <w:rFonts w:ascii="仿宋_GB2312" w:hAnsi="宋体" w:eastAsia="仿宋_GB2312"/>
                <w:kern w:val="0"/>
                <w:szCs w:val="21"/>
              </w:rPr>
            </w:pPr>
            <w:r>
              <w:rPr>
                <w:rFonts w:hint="eastAsia" w:ascii="仿宋_GB2312" w:hAnsi="宋体" w:eastAsia="仿宋_GB2312"/>
                <w:kern w:val="0"/>
                <w:szCs w:val="21"/>
              </w:rPr>
              <w:t>投递快件</w:t>
            </w:r>
          </w:p>
        </w:tc>
        <w:tc>
          <w:tcPr>
            <w:tcW w:w="1937" w:type="dxa"/>
            <w:gridSpan w:val="6"/>
            <w:vAlign w:val="center"/>
          </w:tcPr>
          <w:p>
            <w:pPr>
              <w:spacing w:line="160" w:lineRule="atLeast"/>
              <w:jc w:val="center"/>
              <w:rPr>
                <w:rFonts w:ascii="仿宋_GB2312" w:eastAsia="仿宋_GB2312"/>
              </w:rPr>
            </w:pPr>
            <w:r>
              <w:rPr>
                <w:rFonts w:hint="eastAsia" w:ascii="仿宋_GB2312" w:eastAsia="仿宋_GB2312"/>
              </w:rPr>
              <w:t>20分</w:t>
            </w:r>
          </w:p>
        </w:tc>
        <w:tc>
          <w:tcPr>
            <w:tcW w:w="1193" w:type="dxa"/>
            <w:gridSpan w:val="3"/>
            <w:vAlign w:val="center"/>
          </w:tcPr>
          <w:p>
            <w:pPr>
              <w:spacing w:line="160" w:lineRule="atLeast"/>
              <w:jc w:val="center"/>
              <w:rPr>
                <w:rFonts w:ascii="仿宋_GB2312" w:eastAsia="仿宋_GB2312"/>
              </w:rPr>
            </w:pPr>
          </w:p>
        </w:tc>
        <w:tc>
          <w:tcPr>
            <w:tcW w:w="1518" w:type="dxa"/>
            <w:gridSpan w:val="3"/>
            <w:tcBorders>
              <w:right w:val="single" w:color="auto" w:sz="18" w:space="0"/>
            </w:tcBorders>
            <w:vAlign w:val="center"/>
          </w:tcPr>
          <w:p>
            <w:pPr>
              <w:spacing w:line="160" w:lineRule="atLeast"/>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exact"/>
          <w:jc w:val="center"/>
        </w:trPr>
        <w:tc>
          <w:tcPr>
            <w:tcW w:w="6421" w:type="dxa"/>
            <w:gridSpan w:val="13"/>
            <w:tcBorders>
              <w:left w:val="single" w:color="auto" w:sz="18" w:space="0"/>
              <w:right w:val="single" w:color="auto" w:sz="4" w:space="0"/>
            </w:tcBorders>
            <w:vAlign w:val="center"/>
          </w:tcPr>
          <w:p>
            <w:pPr>
              <w:ind w:right="840"/>
              <w:jc w:val="center"/>
              <w:rPr>
                <w:rFonts w:ascii="仿宋_GB2312" w:hAnsi="宋体" w:eastAsia="仿宋_GB2312"/>
                <w:kern w:val="0"/>
                <w:szCs w:val="21"/>
              </w:rPr>
            </w:pPr>
            <w:r>
              <w:rPr>
                <w:rFonts w:hint="eastAsia" w:ascii="仿宋_GB2312" w:hAnsi="宋体" w:eastAsia="仿宋_GB2312"/>
                <w:kern w:val="0"/>
                <w:szCs w:val="21"/>
              </w:rPr>
              <w:t xml:space="preserve"> </w:t>
            </w:r>
            <w:r>
              <w:rPr>
                <w:rFonts w:ascii="仿宋_GB2312" w:hAnsi="宋体" w:eastAsia="仿宋_GB2312"/>
                <w:kern w:val="0"/>
                <w:szCs w:val="21"/>
              </w:rPr>
              <w:t xml:space="preserve">       </w:t>
            </w:r>
            <w:r>
              <w:rPr>
                <w:rFonts w:hint="eastAsia" w:ascii="仿宋_GB2312" w:hAnsi="宋体" w:eastAsia="仿宋_GB2312"/>
                <w:kern w:val="0"/>
                <w:szCs w:val="21"/>
              </w:rPr>
              <w:t>轨迹赛任务总分</w:t>
            </w:r>
          </w:p>
        </w:tc>
        <w:tc>
          <w:tcPr>
            <w:tcW w:w="1193" w:type="dxa"/>
            <w:gridSpan w:val="3"/>
            <w:tcBorders>
              <w:left w:val="single" w:color="auto" w:sz="4" w:space="0"/>
            </w:tcBorders>
            <w:vAlign w:val="center"/>
          </w:tcPr>
          <w:p>
            <w:pPr>
              <w:ind w:right="840"/>
              <w:rPr>
                <w:rFonts w:ascii="仿宋_GB2312" w:hAnsi="宋体" w:eastAsia="仿宋_GB2312"/>
                <w:kern w:val="0"/>
                <w:szCs w:val="21"/>
              </w:rPr>
            </w:pPr>
          </w:p>
        </w:tc>
        <w:tc>
          <w:tcPr>
            <w:tcW w:w="1518" w:type="dxa"/>
            <w:gridSpan w:val="3"/>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exact"/>
          <w:jc w:val="center"/>
        </w:trPr>
        <w:tc>
          <w:tcPr>
            <w:tcW w:w="9132" w:type="dxa"/>
            <w:gridSpan w:val="19"/>
            <w:tcBorders>
              <w:left w:val="single" w:color="auto" w:sz="18" w:space="0"/>
              <w:right w:val="single" w:color="auto" w:sz="18" w:space="0"/>
            </w:tcBorders>
            <w:shd w:val="clear" w:color="auto" w:fill="F2F2F2"/>
            <w:vAlign w:val="center"/>
          </w:tcPr>
          <w:p>
            <w:pP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534" w:type="dxa"/>
            <w:gridSpan w:val="8"/>
            <w:tcBorders>
              <w:left w:val="single" w:color="auto" w:sz="18"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驿站</w:t>
            </w:r>
          </w:p>
        </w:tc>
        <w:tc>
          <w:tcPr>
            <w:tcW w:w="1887" w:type="dxa"/>
            <w:gridSpan w:val="5"/>
            <w:vAlign w:val="center"/>
          </w:tcPr>
          <w:p>
            <w:pPr>
              <w:jc w:val="center"/>
              <w:rPr>
                <w:rFonts w:ascii="仿宋_GB2312" w:hAnsi="宋体" w:eastAsia="仿宋_GB2312"/>
                <w:kern w:val="0"/>
                <w:szCs w:val="21"/>
              </w:rPr>
            </w:pPr>
            <w:r>
              <w:rPr>
                <w:rFonts w:hint="eastAsia" w:ascii="仿宋_GB2312" w:hAnsi="宋体" w:eastAsia="仿宋_GB2312"/>
                <w:kern w:val="0"/>
                <w:szCs w:val="21"/>
              </w:rPr>
              <w:t>10分</w:t>
            </w:r>
          </w:p>
        </w:tc>
        <w:tc>
          <w:tcPr>
            <w:tcW w:w="1193" w:type="dxa"/>
            <w:gridSpan w:val="3"/>
            <w:vAlign w:val="center"/>
          </w:tcPr>
          <w:p>
            <w:pPr>
              <w:jc w:val="center"/>
              <w:rPr>
                <w:rFonts w:ascii="仿宋_GB2312" w:hAnsi="宋体" w:eastAsia="仿宋_GB2312"/>
                <w:kern w:val="0"/>
                <w:szCs w:val="21"/>
              </w:rPr>
            </w:pPr>
          </w:p>
        </w:tc>
        <w:tc>
          <w:tcPr>
            <w:tcW w:w="1518" w:type="dxa"/>
            <w:gridSpan w:val="3"/>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exact"/>
          <w:jc w:val="center"/>
        </w:trPr>
        <w:tc>
          <w:tcPr>
            <w:tcW w:w="9132" w:type="dxa"/>
            <w:gridSpan w:val="19"/>
            <w:tcBorders>
              <w:left w:val="single" w:color="auto" w:sz="18" w:space="0"/>
              <w:right w:val="single" w:color="auto" w:sz="18" w:space="0"/>
            </w:tcBorders>
            <w:shd w:val="clear" w:color="auto" w:fill="F2F2F2"/>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exact"/>
          <w:jc w:val="center"/>
        </w:trPr>
        <w:tc>
          <w:tcPr>
            <w:tcW w:w="6421" w:type="dxa"/>
            <w:gridSpan w:val="13"/>
            <w:tcBorders>
              <w:left w:val="single" w:color="auto" w:sz="18"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光电系数</w:t>
            </w:r>
          </w:p>
        </w:tc>
        <w:tc>
          <w:tcPr>
            <w:tcW w:w="1193" w:type="dxa"/>
            <w:gridSpan w:val="3"/>
            <w:tcBorders>
              <w:left w:val="single" w:color="auto" w:sz="4" w:space="0"/>
            </w:tcBorders>
            <w:vAlign w:val="center"/>
          </w:tcPr>
          <w:p>
            <w:pPr>
              <w:jc w:val="center"/>
              <w:rPr>
                <w:rFonts w:ascii="仿宋_GB2312" w:hAnsi="宋体" w:eastAsia="仿宋_GB2312"/>
                <w:kern w:val="0"/>
                <w:szCs w:val="21"/>
              </w:rPr>
            </w:pPr>
          </w:p>
        </w:tc>
        <w:tc>
          <w:tcPr>
            <w:tcW w:w="1518" w:type="dxa"/>
            <w:gridSpan w:val="3"/>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6421" w:type="dxa"/>
            <w:gridSpan w:val="13"/>
            <w:tcBorders>
              <w:left w:val="single" w:color="auto" w:sz="18"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任务得分（（丝绸之路总分+轨迹赛任务总分+驿站分）×光电系数）</w:t>
            </w:r>
          </w:p>
        </w:tc>
        <w:tc>
          <w:tcPr>
            <w:tcW w:w="1193" w:type="dxa"/>
            <w:gridSpan w:val="3"/>
            <w:tcBorders>
              <w:left w:val="single" w:color="auto" w:sz="4" w:space="0"/>
            </w:tcBorders>
            <w:vAlign w:val="center"/>
          </w:tcPr>
          <w:p>
            <w:pPr>
              <w:jc w:val="center"/>
              <w:rPr>
                <w:rFonts w:ascii="仿宋_GB2312" w:hAnsi="宋体" w:eastAsia="仿宋_GB2312"/>
                <w:kern w:val="0"/>
                <w:szCs w:val="21"/>
              </w:rPr>
            </w:pPr>
          </w:p>
        </w:tc>
        <w:tc>
          <w:tcPr>
            <w:tcW w:w="1518" w:type="dxa"/>
            <w:gridSpan w:val="3"/>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6421" w:type="dxa"/>
            <w:gridSpan w:val="13"/>
            <w:tcBorders>
              <w:left w:val="single" w:color="auto" w:sz="18" w:space="0"/>
              <w:bottom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完成时间（0.01秒）</w:t>
            </w:r>
          </w:p>
        </w:tc>
        <w:tc>
          <w:tcPr>
            <w:tcW w:w="1193" w:type="dxa"/>
            <w:gridSpan w:val="3"/>
            <w:tcBorders>
              <w:bottom w:val="single" w:color="auto" w:sz="4" w:space="0"/>
            </w:tcBorders>
            <w:vAlign w:val="center"/>
          </w:tcPr>
          <w:p>
            <w:pPr>
              <w:rPr>
                <w:rFonts w:ascii="仿宋_GB2312" w:hAnsi="宋体" w:eastAsia="仿宋_GB2312"/>
                <w:kern w:val="0"/>
                <w:szCs w:val="21"/>
              </w:rPr>
            </w:pPr>
          </w:p>
        </w:tc>
        <w:tc>
          <w:tcPr>
            <w:tcW w:w="1518" w:type="dxa"/>
            <w:gridSpan w:val="3"/>
            <w:tcBorders>
              <w:bottom w:val="single" w:color="auto" w:sz="4" w:space="0"/>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21" w:type="dxa"/>
            <w:gridSpan w:val="13"/>
            <w:tcBorders>
              <w:left w:val="single" w:color="auto" w:sz="18" w:space="0"/>
              <w:bottom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时间得分（180-完成时间）</w:t>
            </w:r>
          </w:p>
        </w:tc>
        <w:tc>
          <w:tcPr>
            <w:tcW w:w="1193" w:type="dxa"/>
            <w:gridSpan w:val="3"/>
            <w:tcBorders>
              <w:bottom w:val="single" w:color="auto" w:sz="4" w:space="0"/>
            </w:tcBorders>
            <w:vAlign w:val="center"/>
          </w:tcPr>
          <w:p>
            <w:pPr>
              <w:jc w:val="center"/>
              <w:rPr>
                <w:rFonts w:ascii="仿宋_GB2312" w:hAnsi="宋体" w:eastAsia="仿宋_GB2312"/>
                <w:kern w:val="0"/>
                <w:szCs w:val="21"/>
              </w:rPr>
            </w:pPr>
          </w:p>
        </w:tc>
        <w:tc>
          <w:tcPr>
            <w:tcW w:w="1518" w:type="dxa"/>
            <w:gridSpan w:val="3"/>
            <w:tcBorders>
              <w:bottom w:val="single" w:color="auto" w:sz="4" w:space="0"/>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421" w:type="dxa"/>
            <w:gridSpan w:val="13"/>
            <w:tcBorders>
              <w:left w:val="single" w:color="auto" w:sz="18"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总分（任务得分+时间得分）</w:t>
            </w:r>
          </w:p>
        </w:tc>
        <w:tc>
          <w:tcPr>
            <w:tcW w:w="1193" w:type="dxa"/>
            <w:gridSpan w:val="3"/>
            <w:tcBorders>
              <w:left w:val="single" w:color="auto" w:sz="4" w:space="0"/>
            </w:tcBorders>
            <w:vAlign w:val="center"/>
          </w:tcPr>
          <w:p>
            <w:pPr>
              <w:jc w:val="center"/>
              <w:rPr>
                <w:rFonts w:ascii="仿宋_GB2312" w:hAnsi="宋体" w:eastAsia="仿宋_GB2312"/>
                <w:kern w:val="0"/>
                <w:szCs w:val="21"/>
              </w:rPr>
            </w:pPr>
          </w:p>
        </w:tc>
        <w:tc>
          <w:tcPr>
            <w:tcW w:w="1518" w:type="dxa"/>
            <w:gridSpan w:val="3"/>
            <w:tcBorders>
              <w:right w:val="single" w:color="auto" w:sz="18" w:space="0"/>
            </w:tcBorders>
            <w:vAlign w:val="center"/>
          </w:tcPr>
          <w:p>
            <w:pPr>
              <w:jc w:val="center"/>
              <w:rPr>
                <w:rFonts w:ascii="仿宋_GB2312" w:hAnsi="宋体"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6421" w:type="dxa"/>
            <w:gridSpan w:val="13"/>
            <w:tcBorders>
              <w:left w:val="single" w:color="auto" w:sz="18" w:space="0"/>
              <w:bottom w:val="single" w:color="auto" w:sz="18"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两轮总分</w:t>
            </w:r>
          </w:p>
        </w:tc>
        <w:tc>
          <w:tcPr>
            <w:tcW w:w="2711" w:type="dxa"/>
            <w:gridSpan w:val="6"/>
            <w:tcBorders>
              <w:left w:val="single" w:color="auto" w:sz="4" w:space="0"/>
              <w:bottom w:val="single" w:color="auto" w:sz="18" w:space="0"/>
              <w:right w:val="single" w:color="auto" w:sz="18" w:space="0"/>
            </w:tcBorders>
            <w:vAlign w:val="center"/>
          </w:tcPr>
          <w:p>
            <w:pPr>
              <w:jc w:val="center"/>
              <w:rPr>
                <w:rFonts w:ascii="仿宋_GB2312" w:hAnsi="宋体" w:eastAsia="仿宋_GB2312"/>
                <w:kern w:val="0"/>
                <w:szCs w:val="21"/>
              </w:rPr>
            </w:pPr>
          </w:p>
        </w:tc>
      </w:tr>
    </w:tbl>
    <w:p>
      <w:pPr>
        <w:ind w:firstLine="1050" w:firstLineChars="498"/>
        <w:rPr>
          <w:rFonts w:ascii="仿宋_GB2312" w:eastAsia="仿宋_GB2312"/>
          <w:b/>
          <w:bCs/>
        </w:rPr>
      </w:pPr>
    </w:p>
    <w:p>
      <w:pPr>
        <w:ind w:firstLine="1050" w:firstLineChars="498"/>
        <w:rPr>
          <w:rFonts w:ascii="仿宋_GB2312" w:eastAsia="仿宋_GB2312"/>
          <w:b/>
          <w:bCs/>
        </w:rPr>
      </w:pPr>
    </w:p>
    <w:p>
      <w:pPr>
        <w:ind w:firstLine="1050" w:firstLineChars="498"/>
        <w:rPr>
          <w:rFonts w:ascii="仿宋_GB2312" w:hAnsi="仿宋" w:eastAsia="仿宋_GB2312" w:cs="仿宋"/>
          <w:sz w:val="28"/>
          <w:szCs w:val="28"/>
        </w:rPr>
      </w:pPr>
      <w:r>
        <w:rPr>
          <w:rFonts w:hint="eastAsia" w:ascii="仿宋_GB2312" w:eastAsia="仿宋_GB2312"/>
          <w:b/>
          <w:bCs/>
        </w:rPr>
        <w:t>裁判员</w:t>
      </w:r>
      <w:r>
        <w:rPr>
          <w:rFonts w:hint="eastAsia" w:ascii="仿宋_GB2312" w:eastAsia="仿宋_GB2312"/>
        </w:rPr>
        <w:t xml:space="preserve">：______________________________ </w:t>
      </w:r>
      <w:r>
        <w:rPr>
          <w:rFonts w:hint="eastAsia" w:ascii="仿宋_GB2312" w:eastAsia="仿宋_GB2312"/>
          <w:b/>
          <w:bCs/>
        </w:rPr>
        <w:t>参赛队员</w:t>
      </w:r>
      <w:r>
        <w:rPr>
          <w:rFonts w:hint="eastAsia" w:ascii="仿宋_GB2312" w:eastAsia="仿宋_GB2312"/>
        </w:rPr>
        <w:t>：______________________________</w:t>
      </w:r>
    </w:p>
    <w:p>
      <w:pPr>
        <w:jc w:val="center"/>
        <w:rPr>
          <w:rFonts w:ascii="仿宋_GB2312" w:eastAsia="仿宋_GB2312"/>
          <w:b/>
          <w:bCs/>
          <w:sz w:val="28"/>
          <w:szCs w:val="28"/>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方正小标宋简体">
    <w:altName w:val="微软雅黑"/>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A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8062752"/>
      <w:docPartObj>
        <w:docPartGallery w:val="AutoText"/>
      </w:docPartObj>
    </w:sdtPr>
    <w:sdtContent>
      <w:p>
        <w:pPr>
          <w:pStyle w:val="7"/>
          <w:jc w:val="center"/>
        </w:pPr>
        <w:r>
          <w:fldChar w:fldCharType="begin"/>
        </w:r>
        <w:r>
          <w:instrText xml:space="preserve">PAGE   \* MERGEFORMAT</w:instrText>
        </w:r>
        <w:r>
          <w:fldChar w:fldCharType="separate"/>
        </w:r>
        <w:r>
          <w:rPr>
            <w:lang w:val="zh-CN"/>
          </w:rPr>
          <w:t>-</w:t>
        </w:r>
        <w:r>
          <w:t xml:space="preserve"> 14 -</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208"/>
    <w:rsid w:val="0007369E"/>
    <w:rsid w:val="00082D71"/>
    <w:rsid w:val="000B69DA"/>
    <w:rsid w:val="000B798F"/>
    <w:rsid w:val="000E5821"/>
    <w:rsid w:val="000F1203"/>
    <w:rsid w:val="000F6239"/>
    <w:rsid w:val="000F6408"/>
    <w:rsid w:val="00101811"/>
    <w:rsid w:val="001212D7"/>
    <w:rsid w:val="001450AF"/>
    <w:rsid w:val="00176A06"/>
    <w:rsid w:val="001A5EDD"/>
    <w:rsid w:val="001A7344"/>
    <w:rsid w:val="0022510A"/>
    <w:rsid w:val="002602AE"/>
    <w:rsid w:val="00263932"/>
    <w:rsid w:val="00265B64"/>
    <w:rsid w:val="00274E2D"/>
    <w:rsid w:val="00286181"/>
    <w:rsid w:val="002A2A47"/>
    <w:rsid w:val="002A3C7F"/>
    <w:rsid w:val="002A49AB"/>
    <w:rsid w:val="002B4338"/>
    <w:rsid w:val="002B5FF5"/>
    <w:rsid w:val="002C28B1"/>
    <w:rsid w:val="002E172C"/>
    <w:rsid w:val="002F312F"/>
    <w:rsid w:val="002F7F8C"/>
    <w:rsid w:val="00315195"/>
    <w:rsid w:val="00316798"/>
    <w:rsid w:val="003500A4"/>
    <w:rsid w:val="00365976"/>
    <w:rsid w:val="0038689F"/>
    <w:rsid w:val="00391CED"/>
    <w:rsid w:val="00395B38"/>
    <w:rsid w:val="0039636C"/>
    <w:rsid w:val="00396498"/>
    <w:rsid w:val="003C6C73"/>
    <w:rsid w:val="00402186"/>
    <w:rsid w:val="00404F6B"/>
    <w:rsid w:val="004053C2"/>
    <w:rsid w:val="004159C9"/>
    <w:rsid w:val="00424B1B"/>
    <w:rsid w:val="00453751"/>
    <w:rsid w:val="004607D1"/>
    <w:rsid w:val="004910F4"/>
    <w:rsid w:val="004B392D"/>
    <w:rsid w:val="004F4596"/>
    <w:rsid w:val="0050369E"/>
    <w:rsid w:val="00504DC7"/>
    <w:rsid w:val="00512069"/>
    <w:rsid w:val="00523877"/>
    <w:rsid w:val="005773B5"/>
    <w:rsid w:val="00594DBE"/>
    <w:rsid w:val="005B76BC"/>
    <w:rsid w:val="005D41B7"/>
    <w:rsid w:val="005D7094"/>
    <w:rsid w:val="005F7F3F"/>
    <w:rsid w:val="00603EE4"/>
    <w:rsid w:val="006047AA"/>
    <w:rsid w:val="0061205C"/>
    <w:rsid w:val="00621FC5"/>
    <w:rsid w:val="0065719C"/>
    <w:rsid w:val="006634C7"/>
    <w:rsid w:val="006807F8"/>
    <w:rsid w:val="006A0563"/>
    <w:rsid w:val="006A15E4"/>
    <w:rsid w:val="006A7F18"/>
    <w:rsid w:val="006B37B6"/>
    <w:rsid w:val="006B4625"/>
    <w:rsid w:val="006B6A8F"/>
    <w:rsid w:val="006D54A2"/>
    <w:rsid w:val="006F07A5"/>
    <w:rsid w:val="007255E9"/>
    <w:rsid w:val="00751ACE"/>
    <w:rsid w:val="007568C0"/>
    <w:rsid w:val="00765318"/>
    <w:rsid w:val="007654B2"/>
    <w:rsid w:val="007A57EF"/>
    <w:rsid w:val="007B7D6E"/>
    <w:rsid w:val="007C1AF4"/>
    <w:rsid w:val="007C5B76"/>
    <w:rsid w:val="007E67CB"/>
    <w:rsid w:val="00801185"/>
    <w:rsid w:val="008070A4"/>
    <w:rsid w:val="00812894"/>
    <w:rsid w:val="00821F61"/>
    <w:rsid w:val="00827106"/>
    <w:rsid w:val="00830FD7"/>
    <w:rsid w:val="00831498"/>
    <w:rsid w:val="00887F6D"/>
    <w:rsid w:val="00891AB8"/>
    <w:rsid w:val="008B2006"/>
    <w:rsid w:val="008D297D"/>
    <w:rsid w:val="008E0157"/>
    <w:rsid w:val="008E49BA"/>
    <w:rsid w:val="00912742"/>
    <w:rsid w:val="00927FD0"/>
    <w:rsid w:val="009340BC"/>
    <w:rsid w:val="00947278"/>
    <w:rsid w:val="00963E51"/>
    <w:rsid w:val="0097004D"/>
    <w:rsid w:val="009757AB"/>
    <w:rsid w:val="009A25C1"/>
    <w:rsid w:val="009A6B6F"/>
    <w:rsid w:val="009C18AD"/>
    <w:rsid w:val="009D02AB"/>
    <w:rsid w:val="009D653E"/>
    <w:rsid w:val="009F544B"/>
    <w:rsid w:val="00A1188F"/>
    <w:rsid w:val="00A150A8"/>
    <w:rsid w:val="00A462FC"/>
    <w:rsid w:val="00A56426"/>
    <w:rsid w:val="00A820FC"/>
    <w:rsid w:val="00A87219"/>
    <w:rsid w:val="00A908B1"/>
    <w:rsid w:val="00AA46AA"/>
    <w:rsid w:val="00AB0758"/>
    <w:rsid w:val="00AC7C61"/>
    <w:rsid w:val="00AE5A76"/>
    <w:rsid w:val="00AF25C9"/>
    <w:rsid w:val="00AF3D68"/>
    <w:rsid w:val="00B13208"/>
    <w:rsid w:val="00B16333"/>
    <w:rsid w:val="00B23E61"/>
    <w:rsid w:val="00B31E09"/>
    <w:rsid w:val="00B564E5"/>
    <w:rsid w:val="00B64F4C"/>
    <w:rsid w:val="00B726AC"/>
    <w:rsid w:val="00B9264C"/>
    <w:rsid w:val="00C039F5"/>
    <w:rsid w:val="00C1209B"/>
    <w:rsid w:val="00C12BD2"/>
    <w:rsid w:val="00C3281B"/>
    <w:rsid w:val="00C35A85"/>
    <w:rsid w:val="00C45D89"/>
    <w:rsid w:val="00C62070"/>
    <w:rsid w:val="00C66C9E"/>
    <w:rsid w:val="00C83366"/>
    <w:rsid w:val="00CA167B"/>
    <w:rsid w:val="00CC0327"/>
    <w:rsid w:val="00D00680"/>
    <w:rsid w:val="00D40C0B"/>
    <w:rsid w:val="00D41F91"/>
    <w:rsid w:val="00D45AC3"/>
    <w:rsid w:val="00D523BA"/>
    <w:rsid w:val="00D60110"/>
    <w:rsid w:val="00D82997"/>
    <w:rsid w:val="00D8461A"/>
    <w:rsid w:val="00DA082E"/>
    <w:rsid w:val="00DB69A4"/>
    <w:rsid w:val="00DB7ADA"/>
    <w:rsid w:val="00DE35C9"/>
    <w:rsid w:val="00DF3B6F"/>
    <w:rsid w:val="00DF7266"/>
    <w:rsid w:val="00E12273"/>
    <w:rsid w:val="00E17D3B"/>
    <w:rsid w:val="00E41D2D"/>
    <w:rsid w:val="00E46B17"/>
    <w:rsid w:val="00E82D1F"/>
    <w:rsid w:val="00E94493"/>
    <w:rsid w:val="00E947DA"/>
    <w:rsid w:val="00EA028F"/>
    <w:rsid w:val="00ED240A"/>
    <w:rsid w:val="00ED30F0"/>
    <w:rsid w:val="00F12CDF"/>
    <w:rsid w:val="00F1640D"/>
    <w:rsid w:val="00F27A40"/>
    <w:rsid w:val="00F30D4B"/>
    <w:rsid w:val="00F43148"/>
    <w:rsid w:val="00F45B25"/>
    <w:rsid w:val="00F7541E"/>
    <w:rsid w:val="00F9101C"/>
    <w:rsid w:val="00F967C0"/>
    <w:rsid w:val="00FA25F6"/>
    <w:rsid w:val="00FA3698"/>
    <w:rsid w:val="00FB4654"/>
    <w:rsid w:val="00FB6FA5"/>
    <w:rsid w:val="00FC1B08"/>
    <w:rsid w:val="00FC21DB"/>
    <w:rsid w:val="00FC75C6"/>
    <w:rsid w:val="00FF4406"/>
    <w:rsid w:val="028138F5"/>
    <w:rsid w:val="049D3C42"/>
    <w:rsid w:val="072F6106"/>
    <w:rsid w:val="07845EB8"/>
    <w:rsid w:val="0BF449A0"/>
    <w:rsid w:val="0DAB511C"/>
    <w:rsid w:val="11226116"/>
    <w:rsid w:val="16A415E3"/>
    <w:rsid w:val="1C1F4290"/>
    <w:rsid w:val="20BD734F"/>
    <w:rsid w:val="226E0A47"/>
    <w:rsid w:val="23933936"/>
    <w:rsid w:val="27877389"/>
    <w:rsid w:val="2C8C63E8"/>
    <w:rsid w:val="2CF9003B"/>
    <w:rsid w:val="2F401FEF"/>
    <w:rsid w:val="30BC71A7"/>
    <w:rsid w:val="31E27712"/>
    <w:rsid w:val="34FB6638"/>
    <w:rsid w:val="3B102B86"/>
    <w:rsid w:val="3CCC4BE5"/>
    <w:rsid w:val="40C92245"/>
    <w:rsid w:val="48781114"/>
    <w:rsid w:val="4C0E4C13"/>
    <w:rsid w:val="50A37AD8"/>
    <w:rsid w:val="542F57F8"/>
    <w:rsid w:val="578C7A0E"/>
    <w:rsid w:val="58DB3EFD"/>
    <w:rsid w:val="5B6617D0"/>
    <w:rsid w:val="5E0A2165"/>
    <w:rsid w:val="5EA50490"/>
    <w:rsid w:val="5FD45D32"/>
    <w:rsid w:val="5FF536FC"/>
    <w:rsid w:val="633F59BA"/>
    <w:rsid w:val="64BC2C8D"/>
    <w:rsid w:val="66E6604D"/>
    <w:rsid w:val="673302AF"/>
    <w:rsid w:val="67D81E7A"/>
    <w:rsid w:val="6A5D683A"/>
    <w:rsid w:val="6A803ABB"/>
    <w:rsid w:val="6A90252F"/>
    <w:rsid w:val="6D354630"/>
    <w:rsid w:val="7E0477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b/>
      <w:bCs/>
      <w:kern w:val="44"/>
      <w:sz w:val="32"/>
      <w:szCs w:val="44"/>
    </w:rPr>
  </w:style>
  <w:style w:type="paragraph" w:styleId="3">
    <w:name w:val="heading 2"/>
    <w:basedOn w:val="1"/>
    <w:next w:val="1"/>
    <w:link w:val="26"/>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4"/>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link w:val="29"/>
    <w:qFormat/>
    <w:uiPriority w:val="99"/>
    <w:pPr>
      <w:jc w:val="left"/>
    </w:pPr>
  </w:style>
  <w:style w:type="paragraph" w:styleId="6">
    <w:name w:val="Balloon Text"/>
    <w:basedOn w:val="1"/>
    <w:link w:val="22"/>
    <w:qFormat/>
    <w:uiPriority w:val="99"/>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10">
    <w:name w:val="annotation subject"/>
    <w:basedOn w:val="5"/>
    <w:next w:val="5"/>
    <w:link w:val="30"/>
    <w:qFormat/>
    <w:uiPriority w:val="99"/>
    <w:rPr>
      <w:b/>
      <w:bCs/>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13">
    <w:name w:val="Light Shading Accent 2"/>
    <w:basedOn w:val="11"/>
    <w:qFormat/>
    <w:uiPriority w:val="60"/>
    <w:rPr>
      <w:color w:val="943634"/>
    </w:rPr>
    <w:tblPr>
      <w:tblBorders>
        <w:top w:val="single" w:color="C0504D" w:sz="8" w:space="0"/>
        <w:bottom w:val="single" w:color="C0504D" w:sz="8" w:space="0"/>
      </w:tblBorders>
      <w:tblLayout w:type="fixed"/>
    </w:tblPr>
    <w:tblStylePr w:type="fir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FD3D2"/>
      </w:tcPr>
    </w:tblStylePr>
    <w:tblStylePr w:type="band1Horz">
      <w:tblPr>
        <w:tblLayout w:type="fixed"/>
      </w:tblPr>
      <w:tcPr>
        <w:tcBorders>
          <w:left w:val="nil"/>
          <w:right w:val="nil"/>
          <w:insideH w:val="nil"/>
          <w:insideV w:val="nil"/>
        </w:tcBorders>
        <w:shd w:val="clear" w:color="auto" w:fill="EFD3D2"/>
      </w:tcPr>
    </w:tblStylePr>
  </w:style>
  <w:style w:type="character" w:styleId="15">
    <w:name w:val="Strong"/>
    <w:basedOn w:val="14"/>
    <w:qFormat/>
    <w:uiPriority w:val="22"/>
    <w:rPr>
      <w:b/>
      <w:bCs/>
    </w:rPr>
  </w:style>
  <w:style w:type="character" w:styleId="16">
    <w:name w:val="Hyperlink"/>
    <w:basedOn w:val="14"/>
    <w:qFormat/>
    <w:uiPriority w:val="99"/>
    <w:rPr>
      <w:color w:val="0000FF"/>
      <w:u w:val="single"/>
    </w:rPr>
  </w:style>
  <w:style w:type="character" w:styleId="17">
    <w:name w:val="annotation reference"/>
    <w:basedOn w:val="14"/>
    <w:qFormat/>
    <w:uiPriority w:val="99"/>
    <w:rPr>
      <w:sz w:val="21"/>
      <w:szCs w:val="21"/>
    </w:rPr>
  </w:style>
  <w:style w:type="table" w:customStyle="1" w:styleId="18">
    <w:name w:val="浅色底纹1"/>
    <w:basedOn w:val="11"/>
    <w:qFormat/>
    <w:uiPriority w:val="60"/>
    <w:rPr>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9">
    <w:name w:val="浅色底纹 - 强调文字颜色 11"/>
    <w:basedOn w:val="11"/>
    <w:qFormat/>
    <w:uiPriority w:val="60"/>
    <w:rPr>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20">
    <w:name w:val="页眉 Char"/>
    <w:basedOn w:val="14"/>
    <w:link w:val="8"/>
    <w:qFormat/>
    <w:uiPriority w:val="99"/>
    <w:rPr>
      <w:sz w:val="18"/>
      <w:szCs w:val="18"/>
    </w:rPr>
  </w:style>
  <w:style w:type="character" w:customStyle="1" w:styleId="21">
    <w:name w:val="页脚 Char"/>
    <w:basedOn w:val="14"/>
    <w:link w:val="7"/>
    <w:qFormat/>
    <w:uiPriority w:val="99"/>
    <w:rPr>
      <w:sz w:val="18"/>
      <w:szCs w:val="18"/>
    </w:rPr>
  </w:style>
  <w:style w:type="character" w:customStyle="1" w:styleId="22">
    <w:name w:val="批注框文本 Char"/>
    <w:basedOn w:val="14"/>
    <w:link w:val="6"/>
    <w:qFormat/>
    <w:uiPriority w:val="99"/>
    <w:rPr>
      <w:sz w:val="18"/>
      <w:szCs w:val="18"/>
    </w:rPr>
  </w:style>
  <w:style w:type="character" w:customStyle="1" w:styleId="23">
    <w:name w:val="apple-converted-space"/>
    <w:basedOn w:val="14"/>
    <w:qFormat/>
    <w:uiPriority w:val="0"/>
  </w:style>
  <w:style w:type="character" w:customStyle="1" w:styleId="24">
    <w:name w:val="text"/>
    <w:basedOn w:val="14"/>
    <w:qFormat/>
    <w:uiPriority w:val="0"/>
  </w:style>
  <w:style w:type="character" w:customStyle="1" w:styleId="25">
    <w:name w:val="index"/>
    <w:basedOn w:val="14"/>
    <w:qFormat/>
    <w:uiPriority w:val="0"/>
  </w:style>
  <w:style w:type="character" w:customStyle="1" w:styleId="26">
    <w:name w:val="标题 2 Char"/>
    <w:basedOn w:val="14"/>
    <w:link w:val="3"/>
    <w:qFormat/>
    <w:uiPriority w:val="9"/>
    <w:rPr>
      <w:rFonts w:ascii="Cambria" w:hAnsi="Cambria" w:eastAsia="宋体" w:cs="宋体"/>
      <w:b/>
      <w:bCs/>
      <w:sz w:val="32"/>
      <w:szCs w:val="32"/>
    </w:rPr>
  </w:style>
  <w:style w:type="paragraph" w:customStyle="1" w:styleId="27">
    <w:name w:val="无间隔1"/>
    <w:qFormat/>
    <w:uiPriority w:val="1"/>
    <w:pPr>
      <w:widowControl w:val="0"/>
      <w:jc w:val="both"/>
    </w:pPr>
    <w:rPr>
      <w:rFonts w:ascii="Calibri" w:hAnsi="Calibri" w:eastAsia="宋体" w:cs="宋体"/>
      <w:kern w:val="2"/>
      <w:sz w:val="21"/>
      <w:szCs w:val="22"/>
      <w:lang w:val="en-US" w:eastAsia="zh-CN" w:bidi="ar-SA"/>
    </w:rPr>
  </w:style>
  <w:style w:type="paragraph" w:customStyle="1" w:styleId="28">
    <w:name w:val="列出段落1"/>
    <w:basedOn w:val="1"/>
    <w:qFormat/>
    <w:uiPriority w:val="99"/>
    <w:pPr>
      <w:ind w:firstLine="420" w:firstLineChars="200"/>
    </w:pPr>
  </w:style>
  <w:style w:type="character" w:customStyle="1" w:styleId="29">
    <w:name w:val="批注文字 Char"/>
    <w:basedOn w:val="14"/>
    <w:link w:val="5"/>
    <w:qFormat/>
    <w:uiPriority w:val="99"/>
    <w:rPr>
      <w:rFonts w:ascii="Calibri" w:hAnsi="Calibri" w:eastAsia="宋体" w:cs="宋体"/>
      <w:kern w:val="2"/>
      <w:sz w:val="21"/>
      <w:szCs w:val="22"/>
    </w:rPr>
  </w:style>
  <w:style w:type="character" w:customStyle="1" w:styleId="30">
    <w:name w:val="批注主题 Char"/>
    <w:basedOn w:val="29"/>
    <w:link w:val="10"/>
    <w:qFormat/>
    <w:uiPriority w:val="99"/>
    <w:rPr>
      <w:rFonts w:ascii="Calibri" w:hAnsi="Calibri" w:eastAsia="宋体" w:cs="宋体"/>
      <w:b/>
      <w:bCs/>
      <w:kern w:val="2"/>
      <w:sz w:val="21"/>
      <w:szCs w:val="22"/>
    </w:rPr>
  </w:style>
  <w:style w:type="paragraph" w:customStyle="1" w:styleId="31">
    <w:name w:val="列出段落2"/>
    <w:basedOn w:val="1"/>
    <w:qFormat/>
    <w:uiPriority w:val="99"/>
    <w:pPr>
      <w:ind w:firstLine="420" w:firstLineChars="200"/>
    </w:pPr>
  </w:style>
  <w:style w:type="paragraph" w:customStyle="1" w:styleId="32">
    <w:name w:val="正文1"/>
    <w:basedOn w:val="1"/>
    <w:qFormat/>
    <w:uiPriority w:val="0"/>
    <w:pPr>
      <w:adjustRightInd w:val="0"/>
      <w:snapToGrid w:val="0"/>
      <w:spacing w:line="500" w:lineRule="exact"/>
      <w:ind w:firstLine="200" w:firstLineChars="200"/>
      <w:jc w:val="left"/>
    </w:pPr>
    <w:rPr>
      <w:rFonts w:ascii="仿宋" w:hAnsi="仿宋" w:eastAsia="仿宋"/>
      <w:sz w:val="32"/>
      <w:szCs w:val="32"/>
    </w:rPr>
  </w:style>
  <w:style w:type="table" w:customStyle="1" w:styleId="33">
    <w:name w:val="网格型1"/>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4">
    <w:name w:val="标题 3 Char"/>
    <w:basedOn w:val="14"/>
    <w:link w:val="4"/>
    <w:semiHidden/>
    <w:uiPriority w:val="9"/>
    <w:rPr>
      <w:rFonts w:ascii="Calibri" w:hAnsi="Calibri" w:cs="宋体"/>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91DA17-BF9E-4B5F-AA27-D1F9B6F00D1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874</Words>
  <Characters>4987</Characters>
  <Lines>41</Lines>
  <Paragraphs>11</Paragraphs>
  <TotalTime>2</TotalTime>
  <ScaleCrop>false</ScaleCrop>
  <LinksUpToDate>false</LinksUpToDate>
  <CharactersWithSpaces>5850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2018-12-11T03:02:00Z</dcterms:created>
  <dc:creator>admin</dc:creator>
  <cp:lastModifiedBy>感恩1373674186</cp:lastModifiedBy>
  <dcterms:modified xsi:type="dcterms:W3CDTF">2019-04-03T02:46:33Z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